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sz w:val="28"/>
          <w:szCs w:val="28"/>
        </w:rPr>
      </w:pPr>
    </w:p>
    <w:p>
      <w:pPr>
        <w:rPr>
          <w:rFonts w:ascii="Times New Roman" w:hAnsi="Times New Roman" w:eastAsia="方正小标宋简体"/>
          <w:b/>
          <w:sz w:val="60"/>
          <w:shd w:val="pct10" w:color="auto" w:fill="FFFFFF"/>
        </w:rPr>
      </w:pPr>
    </w:p>
    <w:p>
      <w:pPr>
        <w:jc w:val="center"/>
        <w:rPr>
          <w:rFonts w:ascii="Times New Roman" w:hAnsi="Times New Roman" w:eastAsia="方正小标宋简体"/>
          <w:b/>
          <w:sz w:val="60"/>
        </w:rPr>
      </w:pPr>
    </w:p>
    <w:p>
      <w:pPr>
        <w:jc w:val="center"/>
        <w:rPr>
          <w:rFonts w:ascii="华文中宋" w:hAnsi="华文中宋" w:eastAsia="华文中宋"/>
          <w:sz w:val="100"/>
        </w:rPr>
      </w:pPr>
      <w:r>
        <w:rPr>
          <w:rFonts w:ascii="华文中宋" w:hAnsi="华文中宋" w:eastAsia="华文中宋"/>
          <w:sz w:val="100"/>
        </w:rPr>
        <w:t>医师资格考试大纲</w:t>
      </w:r>
    </w:p>
    <w:p>
      <w:pPr>
        <w:snapToGrid w:val="0"/>
        <w:jc w:val="center"/>
        <w:rPr>
          <w:rFonts w:eastAsia="仿宋_GB2312"/>
          <w:sz w:val="60"/>
          <w:szCs w:val="60"/>
        </w:rPr>
      </w:pPr>
    </w:p>
    <w:p>
      <w:pPr>
        <w:snapToGrid w:val="0"/>
        <w:jc w:val="center"/>
        <w:rPr>
          <w:rFonts w:eastAsia="仿宋_GB2312"/>
          <w:sz w:val="60"/>
          <w:szCs w:val="60"/>
        </w:rPr>
      </w:pPr>
      <w:r>
        <w:rPr>
          <w:rFonts w:hint="eastAsia" w:eastAsia="仿宋_GB2312"/>
          <w:sz w:val="60"/>
          <w:szCs w:val="60"/>
        </w:rPr>
        <w:t>执业医师 军事医学</w:t>
      </w:r>
    </w:p>
    <w:p>
      <w:pPr>
        <w:snapToGrid w:val="0"/>
        <w:rPr>
          <w:rFonts w:eastAsia="仿宋_GB2312"/>
          <w:sz w:val="32"/>
        </w:rPr>
      </w:pPr>
    </w:p>
    <w:p>
      <w:pPr>
        <w:snapToGrid w:val="0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snapToGrid w:val="0"/>
        <w:spacing w:line="600" w:lineRule="exact"/>
        <w:rPr>
          <w:rFonts w:eastAsia="仿宋_GB2312"/>
          <w:sz w:val="32"/>
        </w:rPr>
      </w:pPr>
    </w:p>
    <w:p>
      <w:pPr>
        <w:jc w:val="center"/>
        <w:rPr>
          <w:rFonts w:ascii="楷体" w:hAnsi="楷体" w:eastAsia="楷体"/>
          <w:sz w:val="44"/>
        </w:rPr>
      </w:pPr>
      <w:r>
        <w:rPr>
          <w:rFonts w:hint="eastAsia" w:ascii="楷体" w:hAnsi="楷体" w:eastAsia="楷体"/>
          <w:sz w:val="44"/>
        </w:rPr>
        <w:t>国家卫生健康委员会</w:t>
      </w:r>
    </w:p>
    <w:p>
      <w:pPr>
        <w:jc w:val="center"/>
        <w:rPr>
          <w:rFonts w:ascii="楷体" w:hAnsi="楷体" w:eastAsia="楷体"/>
          <w:sz w:val="44"/>
        </w:rPr>
      </w:pPr>
      <w:r>
        <w:rPr>
          <w:rFonts w:hint="eastAsia" w:ascii="楷体" w:hAnsi="楷体" w:eastAsia="楷体"/>
          <w:sz w:val="44"/>
        </w:rPr>
        <w:t>医师资格考试委员会</w:t>
      </w:r>
    </w:p>
    <w:p>
      <w:pPr>
        <w:jc w:val="center"/>
        <w:rPr>
          <w:rFonts w:ascii="楷体" w:hAnsi="楷体" w:eastAsia="楷体"/>
          <w:sz w:val="44"/>
        </w:rPr>
      </w:pPr>
    </w:p>
    <w:p>
      <w:pPr>
        <w:jc w:val="center"/>
        <w:rPr>
          <w:rFonts w:ascii="Times New Roman" w:hAnsi="Times New Roman" w:eastAsia="楷体"/>
          <w:sz w:val="44"/>
        </w:rPr>
      </w:pPr>
      <w:r>
        <w:rPr>
          <w:rFonts w:ascii="Times New Roman" w:hAnsi="Times New Roman" w:eastAsia="楷体"/>
          <w:kern w:val="0"/>
          <w:sz w:val="44"/>
        </w:rPr>
        <w:t>2023年</w:t>
      </w:r>
      <w:r>
        <w:rPr>
          <w:rFonts w:hint="eastAsia" w:ascii="Times New Roman" w:hAnsi="Times New Roman" w:eastAsia="楷体"/>
          <w:kern w:val="0"/>
          <w:sz w:val="44"/>
          <w:lang w:val="en-US" w:eastAsia="zh-CN"/>
        </w:rPr>
        <w:t>11</w:t>
      </w:r>
      <w:r>
        <w:rPr>
          <w:rFonts w:ascii="Times New Roman" w:hAnsi="Times New Roman" w:eastAsia="楷体"/>
          <w:kern w:val="0"/>
          <w:sz w:val="44"/>
        </w:rPr>
        <w:t>月</w:t>
      </w:r>
    </w:p>
    <w:p>
      <w:pPr>
        <w:widowControl/>
        <w:jc w:val="left"/>
        <w:rPr>
          <w:rFonts w:eastAsia="黑体"/>
          <w:b/>
          <w:kern w:val="0"/>
          <w:sz w:val="44"/>
        </w:rPr>
      </w:pPr>
      <w:r>
        <w:rPr>
          <w:rFonts w:eastAsia="黑体"/>
          <w:b/>
          <w:kern w:val="0"/>
          <w:sz w:val="44"/>
        </w:rPr>
        <w:br w:type="page"/>
      </w:r>
    </w:p>
    <w:p>
      <w:pPr>
        <w:widowControl/>
        <w:jc w:val="left"/>
        <w:rPr>
          <w:rFonts w:eastAsia="黑体"/>
          <w:b/>
          <w:kern w:val="0"/>
          <w:sz w:val="44"/>
        </w:rPr>
      </w:pPr>
    </w:p>
    <w:p>
      <w:pPr>
        <w:widowControl/>
        <w:jc w:val="left"/>
        <w:rPr>
          <w:rFonts w:eastAsia="黑体"/>
          <w:b/>
          <w:kern w:val="0"/>
          <w:sz w:val="44"/>
        </w:rPr>
        <w:sectPr>
          <w:footerReference r:id="rId5" w:type="first"/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方正小标宋简体" w:cs="Times New Roman"/>
          <w:color w:val="FF0000"/>
          <w:sz w:val="76"/>
          <w:szCs w:val="76"/>
        </w:rPr>
      </w:pPr>
      <w:r>
        <w:rPr>
          <w:rFonts w:ascii="Times New Roman" w:hAnsi="Times New Roman" w:eastAsia="方正小标宋简体" w:cs="Times New Roman"/>
          <w:color w:val="FF0000"/>
          <w:sz w:val="76"/>
          <w:szCs w:val="76"/>
        </w:rPr>
        <w:br w:type="page"/>
      </w:r>
    </w:p>
    <w:p>
      <w:pPr>
        <w:spacing w:line="11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前  言</w:t>
      </w:r>
    </w:p>
    <w:p>
      <w:pPr>
        <w:spacing w:line="480" w:lineRule="auto"/>
        <w:ind w:firstLine="646"/>
        <w:rPr>
          <w:rFonts w:ascii="Times New Roman" w:hAnsi="Times New Roman" w:eastAsia="仿宋_GB2312" w:cs="Times New Roman"/>
          <w:sz w:val="48"/>
          <w:szCs w:val="48"/>
        </w:rPr>
      </w:pPr>
    </w:p>
    <w:p>
      <w:pPr>
        <w:spacing w:line="520" w:lineRule="exact"/>
        <w:ind w:firstLine="645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军队担负维护国家安全、维护和平环境的神圣使命，军队医师是维护和促进军队成员健康、保障其战斗力的主要力量。在新时代强军目标的引领下，聚焦打仗备战，军队医师必须具备过硬的卫勤保障专业素质及能力。军队医师在达到《医师资格考试大纲》前言中对执业医师所提出的具体要求之外，还应满足以下要求：</w:t>
      </w:r>
    </w:p>
    <w:p>
      <w:pPr>
        <w:spacing w:line="520" w:lineRule="exact"/>
        <w:ind w:firstLine="420" w:firstLineChars="200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1．掌握平战时军队基本卫勤理论与主要保障方法。</w:t>
      </w:r>
    </w:p>
    <w:p>
      <w:pPr>
        <w:spacing w:line="520" w:lineRule="exact"/>
        <w:ind w:firstLine="420" w:firstLineChars="200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2．掌握军队流行病学的理论与方法。</w:t>
      </w:r>
    </w:p>
    <w:p>
      <w:pPr>
        <w:spacing w:line="520" w:lineRule="exact"/>
        <w:ind w:firstLine="420" w:firstLineChars="200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3．掌握军队成员健康维护和能力提升的卫生学保障原则与措施。</w:t>
      </w:r>
    </w:p>
    <w:p>
      <w:pPr>
        <w:spacing w:line="520" w:lineRule="exact"/>
        <w:ind w:firstLine="420" w:firstLineChars="200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4．掌握核化生武器伤害的特点和规律、医学防护、救治原则与措施。</w:t>
      </w:r>
    </w:p>
    <w:p>
      <w:pPr>
        <w:spacing w:line="520" w:lineRule="exact"/>
        <w:ind w:firstLine="420" w:firstLineChars="200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5．具备军队卫勤保障的组织指挥、医疗后送、卫生防疫、核化生武器损伤医学防护等基本技能。</w:t>
      </w:r>
    </w:p>
    <w:p>
      <w:pPr>
        <w:spacing w:line="520" w:lineRule="exact"/>
        <w:ind w:firstLine="420" w:firstLineChars="200"/>
        <w:rPr>
          <w:rFonts w:ascii="Times New Roman" w:hAnsi="宋体" w:cs="Times New Roman"/>
        </w:rPr>
      </w:pPr>
      <w:r>
        <w:rPr>
          <w:rFonts w:ascii="Times New Roman" w:hAnsi="宋体" w:cs="Times New Roman"/>
        </w:rPr>
        <w:t>为充分体现军队医师的职业特殊性和满足军队需要，进一步加强军队医师对军事医学知识与技能的学习和运用，更好地履行神圣使命，根据原卫生部医师资格考试委员会第15号《公告》精神和上述要求，制定《</w:t>
      </w:r>
      <w:r>
        <w:rPr>
          <w:rFonts w:hint="eastAsia" w:ascii="Times New Roman" w:hAnsi="宋体" w:cs="Times New Roman"/>
        </w:rPr>
        <w:t>执业</w:t>
      </w:r>
      <w:r>
        <w:rPr>
          <w:rFonts w:ascii="Times New Roman" w:hAnsi="宋体" w:cs="Times New Roman"/>
        </w:rPr>
        <w:t>医师资格军事医学考试大纲》，用于指导专家命题和考生备考。</w:t>
      </w:r>
    </w:p>
    <w:p>
      <w:pPr>
        <w:spacing w:line="520" w:lineRule="exact"/>
        <w:ind w:firstLine="420" w:firstLineChars="200"/>
        <w:rPr>
          <w:rFonts w:ascii="Times New Roman" w:hAnsi="宋体" w:cs="Times New Roman"/>
          <w:sz w:val="32"/>
          <w:szCs w:val="32"/>
        </w:rPr>
      </w:pPr>
      <w:r>
        <w:rPr>
          <w:rFonts w:ascii="Times New Roman" w:hAnsi="宋体" w:cs="Times New Roman"/>
        </w:rPr>
        <w:t>本大纲自2024年起施行。</w:t>
      </w:r>
    </w:p>
    <w:p>
      <w:pPr>
        <w:widowControl/>
        <w:jc w:val="center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jc w:val="center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ascii="华文中宋" w:hAnsi="华文中宋" w:eastAsia="华文中宋"/>
          <w:sz w:val="52"/>
          <w:szCs w:val="52"/>
        </w:rPr>
        <w:t>目录</w:t>
      </w:r>
    </w:p>
    <w:p>
      <w:pPr>
        <w:jc w:val="center"/>
        <w:rPr>
          <w:rFonts w:ascii="华文中宋" w:hAnsi="华文中宋" w:eastAsia="华文中宋"/>
          <w:sz w:val="22"/>
          <w:szCs w:val="22"/>
        </w:rPr>
      </w:pPr>
    </w:p>
    <w:sdt>
      <w:sdtPr>
        <w:rPr>
          <w:lang w:val="zh-CN"/>
        </w:rPr>
        <w:id w:val="-213069541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Cs/>
          <w:lang w:val="zh-CN"/>
        </w:rPr>
      </w:sdtEndPr>
      <w:sdtContent>
        <w:p>
          <w:pPr>
            <w:pStyle w:val="7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szCs w:val="22"/>
            </w:rPr>
          </w:pP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TOC \o "1-3" \h \z \u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fldChar w:fldCharType="begin"/>
          </w:r>
          <w:r>
            <w:instrText xml:space="preserve"> HYPERLINK \l "_Toc146623596" </w:instrText>
          </w:r>
          <w:r>
            <w:fldChar w:fldCharType="separate"/>
          </w:r>
          <w:r>
            <w:rPr>
              <w:rStyle w:val="12"/>
              <w:rFonts w:ascii="Times New Roman" w:hAnsi="Times New Roman" w:cs="Times New Roman" w:eastAsiaTheme="minorEastAsia"/>
            </w:rPr>
            <w:t>一、卫生勤务学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_Toc146623596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1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szCs w:val="22"/>
            </w:rPr>
          </w:pPr>
          <w:r>
            <w:fldChar w:fldCharType="begin"/>
          </w:r>
          <w:r>
            <w:instrText xml:space="preserve"> HYPERLINK \l "_Toc146623597" </w:instrText>
          </w:r>
          <w:r>
            <w:fldChar w:fldCharType="separate"/>
          </w:r>
          <w:r>
            <w:rPr>
              <w:rStyle w:val="12"/>
              <w:rFonts w:ascii="Times New Roman" w:hAnsi="Times New Roman" w:cs="Times New Roman" w:eastAsiaTheme="minorEastAsia"/>
            </w:rPr>
            <w:t>二、核、化、生武器损伤防治学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_Toc146623597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3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szCs w:val="22"/>
            </w:rPr>
          </w:pPr>
          <w:r>
            <w:fldChar w:fldCharType="begin"/>
          </w:r>
          <w:r>
            <w:instrText xml:space="preserve"> HYPERLINK \l "_Toc146623598" </w:instrText>
          </w:r>
          <w:r>
            <w:fldChar w:fldCharType="separate"/>
          </w:r>
          <w:r>
            <w:rPr>
              <w:rStyle w:val="12"/>
              <w:rFonts w:ascii="Times New Roman" w:hAnsi="Times New Roman" w:cs="Times New Roman" w:eastAsiaTheme="minorEastAsia"/>
            </w:rPr>
            <w:t>三、军队卫生学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_Toc146623598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7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pStyle w:val="7"/>
            <w:tabs>
              <w:tab w:val="right" w:leader="dot" w:pos="8296"/>
            </w:tabs>
            <w:rPr>
              <w:rFonts w:ascii="Times New Roman" w:hAnsi="Times New Roman" w:cs="Times New Roman" w:eastAsiaTheme="minorEastAsia"/>
              <w:szCs w:val="22"/>
            </w:rPr>
          </w:pPr>
          <w:r>
            <w:fldChar w:fldCharType="begin"/>
          </w:r>
          <w:r>
            <w:instrText xml:space="preserve"> HYPERLINK \l "_Toc146623599" </w:instrText>
          </w:r>
          <w:r>
            <w:fldChar w:fldCharType="separate"/>
          </w:r>
          <w:r>
            <w:rPr>
              <w:rStyle w:val="12"/>
              <w:rFonts w:ascii="Times New Roman" w:hAnsi="Times New Roman" w:cs="Times New Roman" w:eastAsiaTheme="minorEastAsia"/>
            </w:rPr>
            <w:t>四、军队流行病学</w:t>
          </w:r>
          <w:r>
            <w:rPr>
              <w:rFonts w:ascii="Times New Roman" w:hAnsi="Times New Roman" w:cs="Times New Roman" w:eastAsiaTheme="minorEastAsia"/>
            </w:rPr>
            <w:tab/>
          </w:r>
          <w:r>
            <w:rPr>
              <w:rFonts w:ascii="Times New Roman" w:hAnsi="Times New Roman" w:cs="Times New Roman" w:eastAsiaTheme="minorEastAsia"/>
            </w:rPr>
            <w:fldChar w:fldCharType="begin"/>
          </w:r>
          <w:r>
            <w:rPr>
              <w:rFonts w:ascii="Times New Roman" w:hAnsi="Times New Roman" w:cs="Times New Roman" w:eastAsiaTheme="minorEastAsia"/>
            </w:rPr>
            <w:instrText xml:space="preserve"> PAGEREF _Toc146623599 \h </w:instrText>
          </w:r>
          <w:r>
            <w:rPr>
              <w:rFonts w:ascii="Times New Roman" w:hAnsi="Times New Roman" w:cs="Times New Roman" w:eastAsiaTheme="minorEastAsia"/>
            </w:rPr>
            <w:fldChar w:fldCharType="separate"/>
          </w:r>
          <w:r>
            <w:rPr>
              <w:rFonts w:ascii="Times New Roman" w:hAnsi="Times New Roman" w:cs="Times New Roman" w:eastAsiaTheme="minorEastAsia"/>
            </w:rPr>
            <w:t>8</w:t>
          </w:r>
          <w:r>
            <w:rPr>
              <w:rFonts w:ascii="Times New Roman" w:hAnsi="Times New Roman" w:cs="Times New Roman" w:eastAsiaTheme="minorEastAsia"/>
            </w:rPr>
            <w:fldChar w:fldCharType="end"/>
          </w:r>
          <w:r>
            <w:rPr>
              <w:rFonts w:ascii="Times New Roman" w:hAnsi="Times New Roman" w:cs="Times New Roman" w:eastAsiaTheme="minorEastAsia"/>
            </w:rPr>
            <w:fldChar w:fldCharType="end"/>
          </w:r>
        </w:p>
        <w:p>
          <w:pPr>
            <w:rPr>
              <w:rFonts w:ascii="Times New Roman" w:hAnsi="Times New Roman" w:cs="Times New Roman" w:eastAsiaTheme="minorEastAsia"/>
            </w:rPr>
          </w:pPr>
          <w:r>
            <w:rPr>
              <w:rFonts w:ascii="Times New Roman" w:hAnsi="Times New Roman" w:cs="Times New Roman" w:eastAsiaTheme="minorEastAsia"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6" w:type="default"/>
          <w:type w:val="continuous"/>
          <w:pgSz w:w="11906" w:h="16838"/>
          <w:pgMar w:top="1440" w:right="1800" w:bottom="1440" w:left="1800" w:header="851" w:footer="8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10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893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0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bookmarkStart w:id="0" w:name="_Toc146623596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一、卫生勤务学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2" w:type="dxa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  元</w:t>
            </w:r>
          </w:p>
        </w:tc>
        <w:tc>
          <w:tcPr>
            <w:tcW w:w="2893" w:type="dxa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细  目</w:t>
            </w:r>
          </w:p>
        </w:tc>
        <w:tc>
          <w:tcPr>
            <w:tcW w:w="4111" w:type="dxa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一、绪论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（1）卫生勤务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（2）卫勤保障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（3）卫生勤务学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2．卫生勤务的组织体系、基本任务和主要工作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（1）卫生勤务的组织体系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（2）基本任务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二、军队卫生防疫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（1）工作特点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（2）基本原则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2．卫生防疫工作的任务、内容与程序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（3）工作程序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三、军队医疗保健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（1）组织体制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（2）基本任务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2．医疗工作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（1）门（急）诊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（2）收容治疗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3．保健工作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（1）健康检查与健康观察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（2）体格检查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（3）健康鉴定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（4）疗养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（5）干部保健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（6）伤残评定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四、军队卫生物资保障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2．战时药材分类及药材保障标准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（1）战救药材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（2）战时常备药材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（3）基本医疗装备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3．药材的预算、筹措及储备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（1）药材预算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（2）药材筹措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（3）药材储备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4．药材补给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（1）补给方式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（2）补给实施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5．野战卫生装备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五、卫生战备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1．经常性的卫生战备工作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（1）卫生战备组织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（2）卫生战备制度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（3）卫生战备物资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（4）卫生战备训练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2．临战准备时卫生战备工作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（1）工作程序和主要内容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3．卫生战备预案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（1）预案的种类和内容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（2）预案的制定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（3）预案的形式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六、卫生减员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1．减员的概念与区分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（1）总减员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（2）战斗减员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（3）非战斗减员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（4）卫生减员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2．减员分析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（1）战伤减员分析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（2）阵亡分析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（3）疾病减员分析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3．卫生减员预计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（1）影响战斗减员的因素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（2）常规武器战伤减员预计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（3）疾病减员预计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七、伤病员医疗后送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（2）医疗后送体制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（3）医疗后送体制发展演变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（4）我军现行医疗后送体制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2．伤病员分类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（1）意义和目的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（2）基本形式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（3）基本要求和措施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（4）分类标识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3．伤病员分级救治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（2）救治种类和范围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4．伤病员后送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（2）后送方式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（3）后送工具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（4）后送的组织与要求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5．医疗后送文书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（1）伤票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（2）野战病历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（3）医疗后送文件袋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（4）战时伤病员登记簿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八、卫勤组织指挥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1．概念、程序和内容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（2）战斗准备阶段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（3）战斗实施阶段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（4）战斗结束后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2．卫勤保障计划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（4）拟订步骤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3．卫勤人力物力需要量的预计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（1）手术力量的预计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（2）卫生运力的计算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（3）卫生物资需要量的预计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九、非战争军事行动卫勤保障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1．灾害医学救援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（1）特点、要求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（2）组织形式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2．维和行动卫勤保障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（1）特点、要求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（2）组织体系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十、战伤救治要点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1．基本技术要点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（1）出血控制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（2）气道开通与呼吸维持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（3）包扎、固定与搬运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（4）生命支持与急救处理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（5）感染防治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（6）休克防治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2．特殊类型战伤救治要点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（1）挤压伤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（2）冲击伤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（3）烧伤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（4）冻伤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（5）淹溺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289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</w:rPr>
            </w:pPr>
            <w:r>
              <w:rPr>
                <w:rFonts w:ascii="Times New Roman" w:hAnsi="Times New Roman" w:cs="Times New Roman" w:eastAsiaTheme="minorEastAsia"/>
                <w:kern w:val="0"/>
              </w:rPr>
              <w:t>（6）虫、蛇咬蛰伤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6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 w:eastAsiaTheme="minorEastAsia"/>
                <w:kern w:val="0"/>
              </w:rPr>
            </w:pPr>
            <w:bookmarkStart w:id="1" w:name="_Toc146623597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二、核、化、生武器损伤防治学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  元</w:t>
            </w:r>
          </w:p>
        </w:tc>
        <w:tc>
          <w:tcPr>
            <w:tcW w:w="2893" w:type="dxa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细  目</w:t>
            </w:r>
          </w:p>
        </w:tc>
        <w:tc>
          <w:tcPr>
            <w:tcW w:w="4111" w:type="dxa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一、核物理基础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辐射量及其单位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（1）放射性活度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（2）吸收剂量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（3）当量剂量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（4）有效剂量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二、电离辐射生物学效应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1．电离辐射对DNA和染色体的作用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（1）电离辐射对DNA的作用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（2）染色体畸变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2．电离辐射对细胞和组织器官的作用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（1）细胞辐射敏感性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（2）组织器官辐射敏感性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三、核武器的杀伤作用及其防护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1．杀伤因素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（1）光辐射致伤特点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（2）冲击波致伤特点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（3）早期核辐射致伤特点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（4）放射性沾染致伤特点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2．防护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（1）瞬时杀伤因素防护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（2）放射性沾染防护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（3）战时剂量控制限值：</w:t>
            </w:r>
            <w:r>
              <w:rPr>
                <w:rFonts w:ascii="Times New Roman" w:hAnsi="Times New Roman" w:cs="Times New Roman" w:eastAsiaTheme="minorEastAsia"/>
                <w:szCs w:val="22"/>
              </w:rPr>
              <w:t>战时γ射线全身外照射控制量；放射性落下灰在人体和物体表面沾染程度控制值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四、放射损伤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1．急性放射病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（1）概念、分型、分度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（2）中重度骨髓型急性放射病的主要临床特点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（3）早期病情分类诊断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（4）中重度骨髓型急性放射病治疗原则、常用抗放药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（5）肠型放射病临床特点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2．内照射放射损伤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（2）放射性核素在体内的代谢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（3）内照射损伤临床特点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（4）治疗原则、核武器爆炸常用促排剂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3．复合伤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（1）概念、伤类与伤情分度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（2）放射复合伤临床特点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（3）治疗原则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4．皮肤放射损伤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皮肤急性放射损伤的分期与分度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5．电离辐射的远后效应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电离辐射的常见远后效应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五、放射卫生防护基础</w:t>
            </w:r>
          </w:p>
        </w:tc>
        <w:tc>
          <w:tcPr>
            <w:tcW w:w="2893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1．概述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放射防护基本原则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2．防护标准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（1）国家标准中的年剂量限值和应急照射限值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（2）国家标准规定的表面污染限值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3．放射卫生防护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（1）外照射防护基本原则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（2）内照射防护基本原则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六、核辐射事故医学应急处置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医学应急处置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（1）人员的主要防护措施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（2）国际核事故与核事件的分级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（3）我国医疗救治体系的分级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七、化学武器概论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1．基本概念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（1）化学武器的概念和分类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（2）化学战剂的概念和分类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2．化学武器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（1）袭击方式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（2）战斗状态及其伤害形式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（3）致伤特点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（4）效应的影响因素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3．化学武器损伤的防护原则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（1）预防原则和措施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（2）诊断原则和方法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（3）救治原则和措施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八、化学战剂中毒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1．神经性毒剂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（1）概述：理化性质及中毒途径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（2）中毒机制：对胆碱酯酶的抑制作用与中毒酶转归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（3）临床表现与分度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（5）中毒预防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（6）急救和治疗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2．糜烂性毒剂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（1）概述：理化性质和中毒途径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（2）中毒机制：芥子气对DNA的损伤作用；路易氏剂对巯基酶的抑制作用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（3）临床表现：皮肤、眼、呼吸道损伤；全身吸收中毒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（5）中毒预防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（6）急救和治疗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3．全身中毒性毒剂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（1）概述：理化性质和中毒途径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（2）中毒机制：对细胞色素氧化酶的抑制作用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（3）临床表现：中毒分型、分度和分期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（5）中毒预防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（6）急救和治疗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4．窒息性毒剂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（1）概述：理化性质和中毒途径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（2）中毒机制：酸烧伤理论、酰化理论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（3）临床表现：中毒分型、分度和分期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（5）中毒预防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（6）急救和治疗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5．失能性毒剂（毕兹）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（1）概述：理化性质和中毒途径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（2）中毒机制：对胆碱能受体的阻断作用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（3）临床表现与分期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（5）急救和治疗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6．刺激剂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（1）概述：理化性质和中毒途径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（2）临床表现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（3）诊断与鉴别诊断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（4）预防和急救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7．中间谱系战剂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（1）概念与分类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（2）几种典型毒素的中毒特点及救治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8．军事相关毒物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（2）肼类毒物的中毒特点及救治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九、化学武器损伤的医学防护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1．毒剂防护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（1）防护器材种类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（2）个人防护器材的性能和对人体的生理影响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2．毒剂侦检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（1）侦检的原理和方法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（2）主要侦检器材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3．毒剂消除</w:t>
            </w:r>
          </w:p>
        </w:tc>
        <w:tc>
          <w:tcPr>
            <w:tcW w:w="4111" w:type="dxa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（1）洗消的原理和方法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（2）常用消毒剂、消毒方法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十、突发化学事件医学应急处置</w:t>
            </w: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1．基本概念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（1）突发化学事件及其分类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（2）突发化学事件的应急医学救援体系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2．医学应急处置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（1）现场抢救的原则与措施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（2）早期救治的原则与措施</w:t>
            </w:r>
          </w:p>
        </w:tc>
      </w:tr>
    </w:tbl>
    <w:tbl>
      <w:tblPr>
        <w:tblStyle w:val="9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3"/>
        <w:gridCol w:w="2894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十一、生物武器概述</w:t>
            </w:r>
          </w:p>
        </w:tc>
        <w:tc>
          <w:tcPr>
            <w:tcW w:w="289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1．基本概念</w:t>
            </w: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（1）生物战剂的概念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（2）生物武器的概念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（3）生物战的概念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（4）生物恐怖的概念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2．分类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（1）根据军事效能的分类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（2）根据微生物学的分类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3．施放方式和侵入途径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（1）施放方式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（2）侵入途径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4．特点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（1）危害性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（2）弱点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5．发展趋势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基因武器的特点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十二、生物武器攻击的侦检</w:t>
            </w: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1．非仪器侦查方式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（1）生物武器攻击时的可疑情况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（2）现场调查方法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2．生物战剂的采样与检验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（1）标本采集和运送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0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十三、生物武器防护</w:t>
            </w:r>
          </w:p>
        </w:tc>
        <w:tc>
          <w:tcPr>
            <w:tcW w:w="2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1．防护原则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防护原则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2．物理防护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（1）个人防护方法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（2）集体防护方法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3．免疫防护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（1）接种种类和时机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（2）接种方法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4．药物预防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（1）预防对象和内容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（2）预防原则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十四、污染区和疫区的划定与处理</w:t>
            </w: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1．生物战剂污染区和疫区的划定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（1）污染区的概念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（2）气溶胶所致污染区和疫区的划定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2．生物战剂污染区的处置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（1）封锁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3．污染区和疫区的洗消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（1）消毒的原则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（2）消毒方法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十五、生物战伤亡人员的处理</w:t>
            </w: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1．一般处理方法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（1）隔离的类型和措施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（2）感染后预防性治疗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2．特殊处理措施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（1）生物战伤亡人员的消毒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（2）特殊治疗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（3）伤亡人员污染物的处理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（4）大量伤员的处理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十六、生物战剂各论</w:t>
            </w: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1．细菌类战剂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（1）炭疽芽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</w:rPr>
              <w:t>胞</w:t>
            </w: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杆菌：所致疾病的流行病学特征、临床特征、治疗、预防措施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（2）鼠疫耶尔森菌：所致疾病的流行病学特征、临床特征、治疗、预防措施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（3）土拉费氏杆菌：所致疾病的流行病学特征、临床特征、治疗、预防措施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2．立克次体类战剂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Q热立克次体：所致疾病的流行病学特征、临床特征、治疗、预防措施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3．病毒类战剂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（1）天花病毒：所致疾病的流行病学特征、临床特征、治疗、预防措施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（2）黄热病毒：所致疾病的流行病学特征、临床特征、治疗、预防措施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（3）拉沙病毒：所致疾病的流行病学特征、临床特征、治疗、预防措施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（4）埃博拉病毒：所致疾病的流行病学特征、临床特征、治疗、预防措施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4．毒素类战剂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2"/>
              </w:rPr>
              <w:t>肉毒杆菌毒素：所致疾病的流行病学特征、临床特征、治疗、预防措施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8506" w:type="dxa"/>
            <w:gridSpan w:val="4"/>
            <w:tcBorders>
              <w:left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br w:type="page"/>
            </w:r>
            <w:bookmarkStart w:id="2" w:name="_Toc146623598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三、军队卫生学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  元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细  目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一、绪论</w:t>
            </w: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基本概念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（1）军队卫生学的定义与任务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（2）军队卫生</w:t>
            </w:r>
            <w:r>
              <w:rPr>
                <w:rFonts w:ascii="Times New Roman" w:hAnsi="Times New Roman" w:cs="Times New Roman"/>
                <w:color w:val="000000" w:themeColor="text1"/>
              </w:rPr>
              <w:t>监测和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监督的目的、意义和任务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二、军队环境卫生</w:t>
            </w: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1．气象和大气卫生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（1）紫外线损伤与防护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（2）红外线损伤与防护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（3）气象因素对军人健康综合影响、评价与防护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2．军队给水卫生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（1）水源卫生侦察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（2）军队常见介水传染病的危害、预防及控制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（3）军队战时饮用水卫生标准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（4）野外水质检验与改善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（5）野战及特殊条件下给水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3．阵地、坑道、密闭环境与野外驻训卫生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（1）战场尸体处理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（2）军事密闭环境、坑道有害因素的危害、监测与防护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（3）野外驻训卫生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三、军队营养与食品卫生</w:t>
            </w: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1．军人营养需要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（1）军人能量消耗监测与评价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（2）军人膳食营养素供给量标准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（3）军人食物定量标准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（4）军人合理膳食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（5）军人营养状况评价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2．特殊环境军事作业营养保障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（1）热环境作业营养保障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（2）寒冷环境作业营养保障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（3）高原低氧环境营养保障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3．军事特种作业营养保障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（1）低照度作业营养保障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（2）超强体力劳动作业营养保障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（3）辐射条件下营养保障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（4）航空航天营养保障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（5）航海与潜水营养保障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4．军用食品与野战供膳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（1）军用食品分类及其营养标准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（2）野战供膳基本要求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5．军队食品安全保障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（1）食品安全快速检测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（2）核、化、生条件下食品安全保障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四、军队劳动卫生</w:t>
            </w: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1．军事劳动生理与训练卫生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（1）军事体力劳动强度分级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（2）军人作业能力综合评价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（3）军事作业疲劳判定和预防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（4）提高军事作业能力的措施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（5）军事训练伤及其防护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2．特殊环境军事作业健康危害与卫生防护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（1）热环境对机体的影响及防护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（2）寒冷环境对机体的影响及防护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（3）高原低氧对机体的影响及防护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</w:rPr>
              <w:t>3．军兵种和特殊作业卫生保障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（1）航空航天作业卫生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（2）航海作业卫生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（3）火箭军作业卫生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（4）炮兵作业卫生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（5）坦克兵作业卫生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（6）雷达和电子对抗作业卫生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8506" w:type="dxa"/>
            <w:gridSpan w:val="4"/>
            <w:tcBorders>
              <w:left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br w:type="page"/>
            </w:r>
            <w:bookmarkStart w:id="3" w:name="_Toc146623599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四、军队流行病学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单  元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细  目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要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一、绪论</w:t>
            </w: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1．概述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2．内容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（1）部队常见疾病的分布特点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（2）部队重要传染病的流行规律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（3）部队常见病、多发病的病因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（4）突发灾害性事件的卫生流行病学保障与研究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（5）疾病预防措施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（6）生物武器的防护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3．发展趋势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未来发展方向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二、部队疾病预防策略与措施</w:t>
            </w: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1．预防策略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（1）部队疾病预防的特点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（2）部队疾病防制的原则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（3）部队疾病预防的策略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（4）部队非战争军事行动相关疾病的预防特点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2．传染病的预防措施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（1）部队传染源的管理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（2）切断传播途径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（3）保护易感人群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（4）战时传染病的预防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3．军队卫生流行病学侦察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（1）定义、目的、意义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（2）种类和内容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（3）方法和要求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4．军队疾病监测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（1）定义、目的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（2）军队疾病监测系统及作用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三、部队突发公共卫生事件流行病学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1．突发公共卫生事件概述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定义、特点、分类和分级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2．突发公共卫生事件应对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（1）原则、监测、预警和报告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（2）响应机构、措施和终止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3．暴发调查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（1）定义和目的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（2）适用范围和条件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（3）调查方法与步骤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41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四、自然疫源性疾病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1．自然疫源性疾病概述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概念、种类和特点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2．自然疫源地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概念、要素、类型、景观及景观流行病学特点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3．自然疫源性疾病的防制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总体原则和防制措施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4．新发自然疫源性疾病及作为生物战剂的新兴病原</w:t>
            </w: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（1）人感染高致病性禽流感、埃博拉出血热等疾病的流行病学特点和预防措施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141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97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1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（2）尼帕病毒、汉坦病毒、蜱传出血热病毒</w:t>
            </w:r>
          </w:p>
        </w:tc>
      </w:tr>
    </w:tbl>
    <w:p>
      <w:pPr>
        <w:ind w:firstLine="42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headerReference r:id="rId7" w:type="first"/>
      <w:footerReference r:id="rId9" w:type="first"/>
      <w:footerReference r:id="rId8" w:type="default"/>
      <w:type w:val="continuous"/>
      <w:pgSz w:w="11906" w:h="16838"/>
      <w:pgMar w:top="1440" w:right="1800" w:bottom="1440" w:left="1800" w:header="851" w:footer="8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方正宋体S-超大字符集(SIP)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733960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6</w:t>
    </w:r>
    <w:r>
      <w:rPr>
        <w:rFonts w:ascii="Times New Roman" w:hAnsi="Times New Roma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2FD"/>
    <w:rsid w:val="00000D59"/>
    <w:rsid w:val="000073A4"/>
    <w:rsid w:val="00010466"/>
    <w:rsid w:val="00010E3B"/>
    <w:rsid w:val="00011052"/>
    <w:rsid w:val="00017B34"/>
    <w:rsid w:val="000351E5"/>
    <w:rsid w:val="000454E5"/>
    <w:rsid w:val="00046D79"/>
    <w:rsid w:val="000661C4"/>
    <w:rsid w:val="00081944"/>
    <w:rsid w:val="00090443"/>
    <w:rsid w:val="00090791"/>
    <w:rsid w:val="00093183"/>
    <w:rsid w:val="00097604"/>
    <w:rsid w:val="000A379F"/>
    <w:rsid w:val="000A5E2A"/>
    <w:rsid w:val="000A6B24"/>
    <w:rsid w:val="000B5C71"/>
    <w:rsid w:val="000C2CD1"/>
    <w:rsid w:val="000D16E6"/>
    <w:rsid w:val="000E2207"/>
    <w:rsid w:val="000E22B8"/>
    <w:rsid w:val="00100AF8"/>
    <w:rsid w:val="00103337"/>
    <w:rsid w:val="00114711"/>
    <w:rsid w:val="00155476"/>
    <w:rsid w:val="001639C7"/>
    <w:rsid w:val="00173A1F"/>
    <w:rsid w:val="00174684"/>
    <w:rsid w:val="00181D49"/>
    <w:rsid w:val="0019181A"/>
    <w:rsid w:val="001939F0"/>
    <w:rsid w:val="001A47FD"/>
    <w:rsid w:val="001A5508"/>
    <w:rsid w:val="001A7932"/>
    <w:rsid w:val="001B10C8"/>
    <w:rsid w:val="001B3D30"/>
    <w:rsid w:val="001E0A71"/>
    <w:rsid w:val="001F007E"/>
    <w:rsid w:val="001F79A0"/>
    <w:rsid w:val="002124F5"/>
    <w:rsid w:val="0021454A"/>
    <w:rsid w:val="002206D2"/>
    <w:rsid w:val="00222868"/>
    <w:rsid w:val="00231E20"/>
    <w:rsid w:val="0023285B"/>
    <w:rsid w:val="002343C5"/>
    <w:rsid w:val="002447EF"/>
    <w:rsid w:val="002502DA"/>
    <w:rsid w:val="0026460B"/>
    <w:rsid w:val="002B5BB4"/>
    <w:rsid w:val="002B6502"/>
    <w:rsid w:val="002B6A3C"/>
    <w:rsid w:val="002B6FF8"/>
    <w:rsid w:val="002C659D"/>
    <w:rsid w:val="002C731B"/>
    <w:rsid w:val="00301BA3"/>
    <w:rsid w:val="00312AF6"/>
    <w:rsid w:val="00331BCE"/>
    <w:rsid w:val="00341773"/>
    <w:rsid w:val="003420A8"/>
    <w:rsid w:val="00345187"/>
    <w:rsid w:val="00345AD0"/>
    <w:rsid w:val="0037666F"/>
    <w:rsid w:val="00377B33"/>
    <w:rsid w:val="00383BFB"/>
    <w:rsid w:val="003845B0"/>
    <w:rsid w:val="003A6CBF"/>
    <w:rsid w:val="003B1F10"/>
    <w:rsid w:val="003B2B07"/>
    <w:rsid w:val="003C0441"/>
    <w:rsid w:val="003C0DFE"/>
    <w:rsid w:val="003C3B16"/>
    <w:rsid w:val="003C581F"/>
    <w:rsid w:val="003D695D"/>
    <w:rsid w:val="003E037B"/>
    <w:rsid w:val="00410F0A"/>
    <w:rsid w:val="004232DC"/>
    <w:rsid w:val="004312C7"/>
    <w:rsid w:val="00437E21"/>
    <w:rsid w:val="004478A0"/>
    <w:rsid w:val="0045325F"/>
    <w:rsid w:val="004573BA"/>
    <w:rsid w:val="00464647"/>
    <w:rsid w:val="004667AA"/>
    <w:rsid w:val="00471825"/>
    <w:rsid w:val="00471EE6"/>
    <w:rsid w:val="00472135"/>
    <w:rsid w:val="00475703"/>
    <w:rsid w:val="00475F8E"/>
    <w:rsid w:val="00480B8F"/>
    <w:rsid w:val="0048304D"/>
    <w:rsid w:val="00496D04"/>
    <w:rsid w:val="004A7910"/>
    <w:rsid w:val="004B724C"/>
    <w:rsid w:val="004C3977"/>
    <w:rsid w:val="004C6B8C"/>
    <w:rsid w:val="004D65A3"/>
    <w:rsid w:val="004E41E2"/>
    <w:rsid w:val="004F1B5C"/>
    <w:rsid w:val="0050360B"/>
    <w:rsid w:val="005146A9"/>
    <w:rsid w:val="00524B7A"/>
    <w:rsid w:val="00541570"/>
    <w:rsid w:val="005437FA"/>
    <w:rsid w:val="00551B5F"/>
    <w:rsid w:val="00562806"/>
    <w:rsid w:val="00565239"/>
    <w:rsid w:val="00565D5E"/>
    <w:rsid w:val="005907E1"/>
    <w:rsid w:val="005A1343"/>
    <w:rsid w:val="005A7F22"/>
    <w:rsid w:val="005B1F39"/>
    <w:rsid w:val="005B2C19"/>
    <w:rsid w:val="005B7808"/>
    <w:rsid w:val="005D0BA2"/>
    <w:rsid w:val="005E4BEB"/>
    <w:rsid w:val="005E6A2E"/>
    <w:rsid w:val="005F130F"/>
    <w:rsid w:val="005F5183"/>
    <w:rsid w:val="0060097B"/>
    <w:rsid w:val="00607144"/>
    <w:rsid w:val="006130D1"/>
    <w:rsid w:val="0061386E"/>
    <w:rsid w:val="00613BDF"/>
    <w:rsid w:val="006256C8"/>
    <w:rsid w:val="00632504"/>
    <w:rsid w:val="0064182A"/>
    <w:rsid w:val="00642263"/>
    <w:rsid w:val="00643FA4"/>
    <w:rsid w:val="00644E69"/>
    <w:rsid w:val="00646DA1"/>
    <w:rsid w:val="00664164"/>
    <w:rsid w:val="006668E5"/>
    <w:rsid w:val="00680C22"/>
    <w:rsid w:val="00681213"/>
    <w:rsid w:val="00681C30"/>
    <w:rsid w:val="006A68F3"/>
    <w:rsid w:val="006B5F59"/>
    <w:rsid w:val="006C32CA"/>
    <w:rsid w:val="006C6E85"/>
    <w:rsid w:val="006C79B9"/>
    <w:rsid w:val="006D2104"/>
    <w:rsid w:val="006F196A"/>
    <w:rsid w:val="00702EAA"/>
    <w:rsid w:val="007038F6"/>
    <w:rsid w:val="00715BEA"/>
    <w:rsid w:val="007262FD"/>
    <w:rsid w:val="00734370"/>
    <w:rsid w:val="00745AF8"/>
    <w:rsid w:val="007722FE"/>
    <w:rsid w:val="00786E80"/>
    <w:rsid w:val="00797306"/>
    <w:rsid w:val="007A0BB7"/>
    <w:rsid w:val="007B130B"/>
    <w:rsid w:val="007B2E22"/>
    <w:rsid w:val="007B7142"/>
    <w:rsid w:val="007C2483"/>
    <w:rsid w:val="007D06FC"/>
    <w:rsid w:val="007D7C5C"/>
    <w:rsid w:val="007E653E"/>
    <w:rsid w:val="007E6DBB"/>
    <w:rsid w:val="007F122F"/>
    <w:rsid w:val="007F56D7"/>
    <w:rsid w:val="00803C86"/>
    <w:rsid w:val="0080465B"/>
    <w:rsid w:val="00807AE9"/>
    <w:rsid w:val="00825BF8"/>
    <w:rsid w:val="00830259"/>
    <w:rsid w:val="00833383"/>
    <w:rsid w:val="00852A68"/>
    <w:rsid w:val="00853BA9"/>
    <w:rsid w:val="00855577"/>
    <w:rsid w:val="00855F7D"/>
    <w:rsid w:val="00860A79"/>
    <w:rsid w:val="00863C7B"/>
    <w:rsid w:val="008650D4"/>
    <w:rsid w:val="00866CA0"/>
    <w:rsid w:val="00883E23"/>
    <w:rsid w:val="008937FF"/>
    <w:rsid w:val="008A3131"/>
    <w:rsid w:val="008A5103"/>
    <w:rsid w:val="008B0C88"/>
    <w:rsid w:val="008B2EA5"/>
    <w:rsid w:val="008C0BE3"/>
    <w:rsid w:val="008C455B"/>
    <w:rsid w:val="008D7FBF"/>
    <w:rsid w:val="008F0EB9"/>
    <w:rsid w:val="008F323A"/>
    <w:rsid w:val="008F3357"/>
    <w:rsid w:val="008F4681"/>
    <w:rsid w:val="008F7C26"/>
    <w:rsid w:val="00910308"/>
    <w:rsid w:val="00916E84"/>
    <w:rsid w:val="009258A2"/>
    <w:rsid w:val="0092661B"/>
    <w:rsid w:val="00927EDE"/>
    <w:rsid w:val="0093255D"/>
    <w:rsid w:val="00933EF1"/>
    <w:rsid w:val="0094410E"/>
    <w:rsid w:val="009463A5"/>
    <w:rsid w:val="0095095E"/>
    <w:rsid w:val="009509FD"/>
    <w:rsid w:val="00951E0C"/>
    <w:rsid w:val="0095566C"/>
    <w:rsid w:val="00961AC0"/>
    <w:rsid w:val="00970022"/>
    <w:rsid w:val="00972AFF"/>
    <w:rsid w:val="009844A7"/>
    <w:rsid w:val="009B27E9"/>
    <w:rsid w:val="009B458C"/>
    <w:rsid w:val="009B7FAD"/>
    <w:rsid w:val="009C0396"/>
    <w:rsid w:val="009C39A2"/>
    <w:rsid w:val="009C7D14"/>
    <w:rsid w:val="009D1BA8"/>
    <w:rsid w:val="009D2D85"/>
    <w:rsid w:val="009D3610"/>
    <w:rsid w:val="009D5A29"/>
    <w:rsid w:val="009E2385"/>
    <w:rsid w:val="009E27E1"/>
    <w:rsid w:val="009F5478"/>
    <w:rsid w:val="009F7004"/>
    <w:rsid w:val="00A004E6"/>
    <w:rsid w:val="00A0160A"/>
    <w:rsid w:val="00A06D10"/>
    <w:rsid w:val="00A154DF"/>
    <w:rsid w:val="00A26480"/>
    <w:rsid w:val="00A331FA"/>
    <w:rsid w:val="00A40D75"/>
    <w:rsid w:val="00A54448"/>
    <w:rsid w:val="00A66054"/>
    <w:rsid w:val="00A845DE"/>
    <w:rsid w:val="00A84BB4"/>
    <w:rsid w:val="00AA0622"/>
    <w:rsid w:val="00AA5148"/>
    <w:rsid w:val="00AA674B"/>
    <w:rsid w:val="00AB5241"/>
    <w:rsid w:val="00AB55AB"/>
    <w:rsid w:val="00AB68BD"/>
    <w:rsid w:val="00AC371A"/>
    <w:rsid w:val="00AD12B6"/>
    <w:rsid w:val="00AD6924"/>
    <w:rsid w:val="00AE6C7B"/>
    <w:rsid w:val="00AF4DA0"/>
    <w:rsid w:val="00B01EBA"/>
    <w:rsid w:val="00B203E6"/>
    <w:rsid w:val="00B26ECA"/>
    <w:rsid w:val="00B315D5"/>
    <w:rsid w:val="00B377BE"/>
    <w:rsid w:val="00B469AB"/>
    <w:rsid w:val="00B47F18"/>
    <w:rsid w:val="00B525F0"/>
    <w:rsid w:val="00B73FA2"/>
    <w:rsid w:val="00BA13FA"/>
    <w:rsid w:val="00BA3914"/>
    <w:rsid w:val="00BB5D3E"/>
    <w:rsid w:val="00BC5FED"/>
    <w:rsid w:val="00BF64B6"/>
    <w:rsid w:val="00BF6F8D"/>
    <w:rsid w:val="00C02D4F"/>
    <w:rsid w:val="00C07FA9"/>
    <w:rsid w:val="00C12AC6"/>
    <w:rsid w:val="00C1341D"/>
    <w:rsid w:val="00C167E3"/>
    <w:rsid w:val="00C22DAB"/>
    <w:rsid w:val="00C250CD"/>
    <w:rsid w:val="00C3042A"/>
    <w:rsid w:val="00C41570"/>
    <w:rsid w:val="00C466D2"/>
    <w:rsid w:val="00C46FA7"/>
    <w:rsid w:val="00C53B77"/>
    <w:rsid w:val="00C57A3F"/>
    <w:rsid w:val="00C602F8"/>
    <w:rsid w:val="00C65496"/>
    <w:rsid w:val="00C70E44"/>
    <w:rsid w:val="00C711EE"/>
    <w:rsid w:val="00C71B3E"/>
    <w:rsid w:val="00C81343"/>
    <w:rsid w:val="00C81AA0"/>
    <w:rsid w:val="00C82BF0"/>
    <w:rsid w:val="00C95614"/>
    <w:rsid w:val="00CA5ACC"/>
    <w:rsid w:val="00CA6D68"/>
    <w:rsid w:val="00CC14C6"/>
    <w:rsid w:val="00CC22E9"/>
    <w:rsid w:val="00D04AB1"/>
    <w:rsid w:val="00D13AE5"/>
    <w:rsid w:val="00D17481"/>
    <w:rsid w:val="00D24D15"/>
    <w:rsid w:val="00D300F6"/>
    <w:rsid w:val="00D3647D"/>
    <w:rsid w:val="00D529D1"/>
    <w:rsid w:val="00D61B7F"/>
    <w:rsid w:val="00DA5F3D"/>
    <w:rsid w:val="00DA76FF"/>
    <w:rsid w:val="00DB74A2"/>
    <w:rsid w:val="00DE2B7F"/>
    <w:rsid w:val="00DE51D7"/>
    <w:rsid w:val="00DE5E47"/>
    <w:rsid w:val="00DE6006"/>
    <w:rsid w:val="00DE7455"/>
    <w:rsid w:val="00DF18DF"/>
    <w:rsid w:val="00DF37DA"/>
    <w:rsid w:val="00E01357"/>
    <w:rsid w:val="00E01CA2"/>
    <w:rsid w:val="00E07948"/>
    <w:rsid w:val="00E372ED"/>
    <w:rsid w:val="00E42949"/>
    <w:rsid w:val="00E45746"/>
    <w:rsid w:val="00E54762"/>
    <w:rsid w:val="00E54F59"/>
    <w:rsid w:val="00E850A7"/>
    <w:rsid w:val="00E856A9"/>
    <w:rsid w:val="00E95A79"/>
    <w:rsid w:val="00E96E34"/>
    <w:rsid w:val="00EA292C"/>
    <w:rsid w:val="00EA5E44"/>
    <w:rsid w:val="00EB0E66"/>
    <w:rsid w:val="00EB593A"/>
    <w:rsid w:val="00EB7F46"/>
    <w:rsid w:val="00ED3867"/>
    <w:rsid w:val="00ED4153"/>
    <w:rsid w:val="00EE47B4"/>
    <w:rsid w:val="00F11E5C"/>
    <w:rsid w:val="00F37852"/>
    <w:rsid w:val="00F567FB"/>
    <w:rsid w:val="00F71DEC"/>
    <w:rsid w:val="00F81474"/>
    <w:rsid w:val="00F94503"/>
    <w:rsid w:val="00F96EC6"/>
    <w:rsid w:val="00FA6FC8"/>
    <w:rsid w:val="00FC2C03"/>
    <w:rsid w:val="00FD1DD1"/>
    <w:rsid w:val="00FD4263"/>
    <w:rsid w:val="00FD4B01"/>
    <w:rsid w:val="00FF2387"/>
    <w:rsid w:val="00FF5089"/>
    <w:rsid w:val="0A36065A"/>
    <w:rsid w:val="35FF944D"/>
    <w:rsid w:val="37956A5A"/>
    <w:rsid w:val="7F8D7085"/>
    <w:rsid w:val="DFD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  <w:rPr>
      <w:rFonts w:cs="Times New Roman"/>
    </w:rPr>
  </w:style>
  <w:style w:type="paragraph" w:styleId="4">
    <w:name w:val="Balloon Text"/>
    <w:basedOn w:val="1"/>
    <w:link w:val="18"/>
    <w:semiHidden/>
    <w:unhideWhenUsed/>
    <w:qFormat/>
    <w:uiPriority w:val="99"/>
    <w:rPr>
      <w:rFonts w:cs="Times New Roman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页脚 字符"/>
    <w:link w:val="5"/>
    <w:qFormat/>
    <w:uiPriority w:val="99"/>
    <w:rPr>
      <w:rFonts w:ascii="Calibri" w:hAnsi="Calibri" w:eastAsia="宋体" w:cs="Calibri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Char Char Char Char Char Char Char Char Char Char Char Char Char Char Char Char"/>
    <w:basedOn w:val="1"/>
    <w:qFormat/>
    <w:uiPriority w:val="0"/>
    <w:rPr>
      <w:rFonts w:ascii="仿宋_GB2312" w:hAnsi="Times New Roman" w:cs="Times New Roman"/>
      <w:sz w:val="24"/>
      <w:szCs w:val="24"/>
    </w:rPr>
  </w:style>
  <w:style w:type="character" w:customStyle="1" w:styleId="18">
    <w:name w:val="批注框文本 字符"/>
    <w:link w:val="4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9">
    <w:name w:val="批注文字 字符"/>
    <w:link w:val="3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0">
    <w:name w:val="批注主题 字符"/>
    <w:link w:val="8"/>
    <w:semiHidden/>
    <w:qFormat/>
    <w:uiPriority w:val="99"/>
    <w:rPr>
      <w:rFonts w:cs="Calibri"/>
      <w:b/>
      <w:bCs/>
      <w:kern w:val="2"/>
      <w:sz w:val="21"/>
      <w:szCs w:val="21"/>
    </w:rPr>
  </w:style>
  <w:style w:type="character" w:customStyle="1" w:styleId="21">
    <w:name w:val="标题 1 字符"/>
    <w:basedOn w:val="11"/>
    <w:link w:val="2"/>
    <w:qFormat/>
    <w:uiPriority w:val="9"/>
    <w:rPr>
      <w:rFonts w:cs="Calibri"/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1052</Words>
  <Characters>6001</Characters>
  <Lines>50</Lines>
  <Paragraphs>14</Paragraphs>
  <TotalTime>212</TotalTime>
  <ScaleCrop>false</ScaleCrop>
  <LinksUpToDate>false</LinksUpToDate>
  <CharactersWithSpaces>7039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2013-02-22T06:59:00Z</dcterms:created>
  <dc:creator>luo</dc:creator>
  <cp:lastModifiedBy>yljgc03</cp:lastModifiedBy>
  <cp:lastPrinted>2023-09-26T21:41:00Z</cp:lastPrinted>
  <dcterms:modified xsi:type="dcterms:W3CDTF">2023-12-01T14:16:02Z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