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昆明市妇幼保健院2023年住院医师规范化培训招生简章</w:t>
      </w:r>
    </w:p>
    <w:p>
      <w:pPr>
        <w:numPr>
          <w:ilvl w:val="0"/>
          <w:numId w:val="1"/>
        </w:numPr>
        <w:jc w:val="both"/>
        <w:rPr>
          <w:rFonts w:hint="eastAsia"/>
          <w:b/>
          <w:bCs/>
          <w:sz w:val="28"/>
          <w:szCs w:val="36"/>
          <w:lang w:val="en-US" w:eastAsia="zh-CN"/>
        </w:rPr>
      </w:pPr>
      <w:r>
        <w:rPr>
          <w:rFonts w:hint="eastAsia"/>
          <w:b/>
          <w:bCs/>
          <w:sz w:val="28"/>
          <w:szCs w:val="36"/>
          <w:lang w:val="en-US" w:eastAsia="zh-CN"/>
        </w:rPr>
        <w:t>医院简介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36"/>
          <w:lang w:val="en-US" w:eastAsia="zh-CN"/>
        </w:rPr>
      </w:pPr>
      <w:r>
        <w:rPr>
          <w:rFonts w:hint="eastAsia" w:asciiTheme="minorHAnsi" w:eastAsiaTheme="minorEastAsia"/>
          <w:sz w:val="28"/>
          <w:szCs w:val="36"/>
          <w:lang w:val="en-US" w:eastAsia="zh-CN"/>
        </w:rPr>
        <w:t>昆明市妇幼保健院（昆明市妇女儿童医院）是市政府举办的公益性妇幼健康服务机构，三级甲等妇幼保健院、妇女儿童专科医院，是昆明学院非直属附属医院和昆明医科大学、云南中医药大学等多所高校的教学医院和实习</w:t>
      </w:r>
      <w:bookmarkStart w:id="1" w:name="_GoBack"/>
      <w:bookmarkEnd w:id="1"/>
      <w:r>
        <w:rPr>
          <w:rFonts w:hint="eastAsia" w:asciiTheme="minorHAnsi" w:eastAsiaTheme="minorEastAsia"/>
          <w:sz w:val="28"/>
          <w:szCs w:val="36"/>
          <w:lang w:val="en-US" w:eastAsia="zh-CN"/>
        </w:rPr>
        <w:t>基地。院本部位于华山西路5号，前身为1901年始建的“大法施医院”，是云南历史上第一家西医医院，后为云南省立妇婴保健院，1952年更名为昆明市妇幼保健院，是全省首家“三级甲等妇幼保健院”、“爱婴医院”，被授予“全国三八红旗集体”荣誉称号，连续四届获评云南省文明单位。近年来，昆明市妇幼保健院以打造区域领先的妇儿医疗保健中心为目标，加快改革发展，服务能力不断提升，成为“国家级母婴安全优质服务单位”、“国家级儿童早期发展示范基地”、“国家孕产期保健特色专科建设单位”、“国家新生儿保健特色专科建设单位”，全国首批优生优育指导中心，国家级住院医师规范化培训妇产科专业基地；云南省妇幼健康服务继续医学教育基地、助产专科护士培训基地，云南省首批预防接种示范门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36"/>
          <w:lang w:val="en-US" w:eastAsia="zh-CN"/>
        </w:rPr>
      </w:pPr>
      <w:r>
        <w:rPr>
          <w:rFonts w:hint="eastAsia" w:asciiTheme="minorHAnsi" w:eastAsiaTheme="minorEastAsia"/>
          <w:sz w:val="28"/>
          <w:szCs w:val="36"/>
          <w:lang w:val="en-US" w:eastAsia="zh-CN"/>
        </w:rPr>
        <w:t>医院共有华山、丹霞、呈贡三个院区，开设床位804张，在岗职工1070人 ，其中正副高级职称124人，硕博研究生101人。</w:t>
      </w:r>
      <w:r>
        <w:rPr>
          <w:rFonts w:hint="eastAsia" w:asciiTheme="minorHAnsi" w:eastAsiaTheme="minorEastAsia"/>
          <w:sz w:val="28"/>
          <w:szCs w:val="36"/>
          <w:lang w:val="en-US" w:eastAsia="zh-CN"/>
        </w:rPr>
        <w:t>年诊疗量近100万人次，年收治住院超过2万人次，年分娩新生儿9000余例，居昆明地区首位。2021年12月31日正式投入使用的呈贡院区建筑面积8.8万平方米，按照现代化“三甲”医院标准进行配置，与华山院区、丹霞院区实行一体化管理、同质化服务，目前基本实现全院所有业务延伸覆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36"/>
          <w:lang w:val="en-US" w:eastAsia="zh-CN"/>
        </w:rPr>
      </w:pPr>
      <w:r>
        <w:rPr>
          <w:rFonts w:hint="eastAsia" w:asciiTheme="minorHAnsi" w:eastAsiaTheme="minorEastAsia"/>
          <w:sz w:val="28"/>
          <w:szCs w:val="36"/>
          <w:lang w:val="en-US" w:eastAsia="zh-CN"/>
        </w:rPr>
        <w:t>昆明市妇幼保健院产科、儿科列为省级临床重点专科；妇科、生殖健康与不孕不育科、儿科、新生儿科、中医科是市级重点学科；拥有23个市级医疗卫生技术中心。发挥区域辐射行业引领作用，牵头建立了“昆滇妇幼医疗保健专科医联体”，与全省各地州市143家医疗保健机构合作，建立56个专家工作站，联合开展分级诊疗、双向转诊、技术推广、人才培养、学科建设等，促进协同发展。</w:t>
      </w:r>
    </w:p>
    <w:p>
      <w:pPr>
        <w:numPr>
          <w:ilvl w:val="0"/>
          <w:numId w:val="1"/>
        </w:numPr>
        <w:jc w:val="both"/>
        <w:rPr>
          <w:rFonts w:hint="default"/>
          <w:b/>
          <w:bCs/>
          <w:sz w:val="28"/>
          <w:szCs w:val="36"/>
          <w:lang w:val="en-US" w:eastAsia="zh-CN"/>
        </w:rPr>
      </w:pPr>
      <w:r>
        <w:rPr>
          <w:rFonts w:hint="eastAsia"/>
          <w:b/>
          <w:bCs/>
          <w:sz w:val="28"/>
          <w:szCs w:val="36"/>
          <w:lang w:val="en-US" w:eastAsia="zh-CN"/>
        </w:rPr>
        <w:t>培训基地简介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妇科现为云南省重点建设学科，长久以来在我省享有很高的知名度，妇科内镜技术在省内处于领先水平，在临床，教学及科研方面成绩均位于云南省专科三级甲等医院前列，现已成为昆明市妇科内窥镜诊治中心、云南省妇科内窥镜研究室、昆明市妇科盆底重建技术中心、昆明市子宫颈癌早诊早治技术中心、昆明市妇科亚学科规范化建设研究机构</w:t>
      </w:r>
      <w:r>
        <w:rPr>
          <w:rFonts w:hint="eastAsia"/>
          <w:sz w:val="28"/>
          <w:szCs w:val="36"/>
          <w:lang w:val="en-US" w:eastAsia="zh-CN"/>
        </w:rPr>
        <w:t>，科挂牌国家级“子宫颈癌防控培训进修基地”、“PAC优质服务试点医院”、“云南省医学会阴道镜宫颈病理学分会主委单位”、“昆明市宫颈疾病诊治中心”、“昆明市妇科内窥镜诊治中心”“昆明市盆底疾病康复中心”、“昆明市妇科内分泌疾病诊治中心”及“昆明市妇科疾病防治科技创新团队”</w:t>
      </w:r>
      <w:r>
        <w:rPr>
          <w:rFonts w:hint="default"/>
          <w:sz w:val="28"/>
          <w:szCs w:val="36"/>
          <w:lang w:val="en-US" w:eastAsia="zh-CN"/>
        </w:rPr>
        <w:t>。计划生育专科是我省第一家通过的PAC示范单位，手术量为云南省第一。生殖妇科已成为中国妇幼保健院全国妇科内分泌医师培训基地。盆底中心，2013年正式成立，是集盆底评估、盆底康复、盆底手术为一体的中心，现已拥有了一套规范的、系统的盆底评估、康复、治疗及盆底疾病手术为一体的诊疗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eastAsia"/>
          <w:sz w:val="28"/>
          <w:szCs w:val="36"/>
          <w:lang w:val="en-US" w:eastAsia="zh-CN"/>
        </w:rPr>
        <w:t>妇科</w:t>
      </w:r>
      <w:r>
        <w:rPr>
          <w:rFonts w:hint="default"/>
          <w:sz w:val="28"/>
          <w:szCs w:val="36"/>
          <w:lang w:val="en-US" w:eastAsia="zh-CN"/>
        </w:rPr>
        <w:t>学科人才梯队结构合理，技术精湛。护理队伍素质优秀，服务理念逐年优化，专科护士精益求精，构建了一直专业技术强劲的医疗技术团队。2009年获批云南省首批具有四级妇科内镜手术资格的科室。现有5套德国STROZ腹腔镜主机、5套德国STROZ宫腔镜主机，PK等离子电刀、LIGASURE血管闭合器、电工作站及完善的腹腔镜、宫腔镜手术器械。担负着对全省妇科疑难危重症及复杂手术的指导和会诊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专业特色：1998年我院妇科率先在省内开展宫、腹腔镜手术，积累了大量的临床经验，妇科内镜技术在省内处于领先水平，现以妇科微创技术为基础和特色开展妇科相关疾病的手术治疗；同时是PAC区域示范医院，2018年通过了国家“流产后优质计划生育服务区域示范医院”的评审，成为云南省唯一一家区域示范医院，承担着我省流产后优质计划生育服务工作建设的建设指导工作。2018年申请并成立了昆明市女性健康与流产服务技术中心，2021年7月被评为全国“流产后优质计划生育服务培训基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妇科肿瘤专业：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科室现已实现妇科良恶性肿瘤的微创化手术治疗，先后开展了妇科卵巢癌细胞减灭术、宫颈癌根治术、卵巢高位移位术、外阴癌根治术等及相关恶性肿瘤的化疗，治愈率达到全省领先水平。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普通妇科专业: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开展各种女性内分泌疾病、盆腔炎性疾病的常规诊疗工作，子宫内膜异位症和子宫腺肌病的微创手术治疗，女性生殖器官发育异常(先天性无阴道无子宫、阴道隔膜、两性畸形)等相关疾病的手术治疗。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盆底专科：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女性盆底功能障碍性疾病及女性泌尿等相关疾病的诊治水平居省内领先，目前开展各种阴式手术:阴道前后壁修补术、阴式子宫全切除术，曼式手术、盆底重建术、TVT-0 等各种术式，并在治疗中不断总结、创新、改良，同时，对轻症女性盆底功能障碍性疾病及女性泌尿等相关疾病，采取盆底康复治疗。目前具各盆底康复治疗仪、尿动力检测系统等先进设备和专业化培训人员。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计划生育专业: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开展无痛人工流产、超导可视人流术，药物流产、引产、节育器取出与放置等常规计划生育服务，科室特色为女性不孕症的宫腹腔镜联合术治疗、疑难的宫腹腔镜下取环、子宫纵隔的宫腹腔镜联合术治疗，根据每位患者的疾病特点，制定个体化治疗方案，以期达到最佳治疗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孕产保健部是国家级妇幼保健特色专科建设单位，国家级专科助产士临床培训基地，云南省省级临床重点专科，昆明市产科质量控制中心，昆明市危重孕产妇救治中心，昆明市促进自然分娩技术中心，昆明市互联网+母婴健康管理医学技术中心。孕产门诊现有华山，丹霞，呈贡三个院区，医护人员32人，其中高级职称8人。主要开展婚前检查、孕期保健及产后康复等孕产期保健服务，在云南省首家开设了遗传咨询与产前诊断门诊，高危门诊，再生育指导门诊，复发性流产门诊，孕期营养门诊、孕产期运动门诊、助产士门诊，母乳喂养咨询门诊以及孕期心理门诊，特需门诊等专科门诊。产后盆底评估康复，形体康复，公益性线上线下孕妇课堂等。在常规产检的基础上，还针对高龄孕妇进行孕前筛查与评估、孕期营养与膳食、产后康复等保健指导，实现了孕产妇医疗与保健需求的无缝连接。同时，搭建了以手机APP整合健康医疗服务的智慧健康管理云平台，利用互联网加开展远程营养监测指导，远程胎心监测，便于医生与孕妇实时沟通，并针对其身体状况提出指导意见，孕妇足不出户就可享受全天候的诊疗管理及健康关怀。远程胎监让产妇时刻监护自己的宝宝，确保母婴的安全，此外，我院倡导自然分娩的理念，开设了助产士门诊，为广大孕妇提供产前训练及模拟分娩特色服务，让产妇提早认识分娩，减轻对分娩的恐惧，帮助其顺利分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住院部现有床位106张，医护人员108人，其中高级职称13人。在全省率先开展宫颈球囊促宫颈成熟，宫腔填塞球囊压迫止血，双侧髂内动脉预置术在凶险性前置胎盘伴植入术中的应用，宫颈环扎，臀位外倒转，剖宫产术后再次经阴道分娩等产科新技术。接收下级医疗机构危重孕产妇的转诊，在危重孕产妇救治方面具有丰富的经验。产时开展一对一全程陪伴分娩，自由体位分娩，物理镇痛分娩，药物镇痛分娩等促进自然分娩措施，拥有单间陪伴分娩产房，产房手术室，隔离分娩室，产后家庭化特需病房，进行产后康复治疗，切口愈合，血栓预防等促进康复治疗，催乳通乳等特色服务，提倡促进母乳喂养和术后早期康复，此外孕产保健住院部部还协同医院新生儿疾病筛查中心、眼病筛查中心、听力筛查中心，先天性心脏病筛查中心，一起完成新生儿代谢性的筛查、新生儿眼病筛查、新生儿听力筛查及新生儿先天性心脏病的筛查，协同中医科完成新生儿黄疸药浴，产妇切口中药贴敷等服务，科室倡导人文关怀，提倡爱婴服务，营造安全温馨舒适的分娩环境及体验。昆明市妇幼保健院呈贡院区分娩室于2022年8月投入使用，区域环境安静温馨舒适，设施设备齐全先进。拥有LDRP一体化产房二间、LDR家庭化产房一间，温馨待产室，分娩室，产房手术室，特需病房，可为产妇提供集待产、分娩、产后恢复、产后休养为一体的家庭化分娩服务；拥有导乐陪伴分娩、物理镇痛分娩、药物镇痛分娩、自由体位分娩等促进自然分娩适宜技术和人性化关怀个性化服务，满足广大孕产妇不同的分娩需求，孕产保健部呈贡院区拥有多名高年资专家，资深助产士为孕产妇提供多元化服务，为产妇的安全分娩提供可靠保障！孕产保健部从孕前到产后，完整的产科服务体系和服务内涵，使产妇的满意度不断提升，吸引更多的孕产妇到我科产检及分娩，分娩量一直居于昆明地区前列。</w:t>
      </w:r>
    </w:p>
    <w:p>
      <w:pPr>
        <w:numPr>
          <w:ilvl w:val="0"/>
          <w:numId w:val="1"/>
        </w:numPr>
        <w:jc w:val="both"/>
        <w:rPr>
          <w:rFonts w:hint="default"/>
          <w:b/>
          <w:bCs/>
          <w:sz w:val="28"/>
          <w:szCs w:val="36"/>
          <w:lang w:val="en-US" w:eastAsia="zh-CN"/>
        </w:rPr>
      </w:pPr>
      <w:r>
        <w:rPr>
          <w:rFonts w:hint="eastAsia"/>
          <w:b/>
          <w:bCs/>
          <w:sz w:val="28"/>
          <w:szCs w:val="36"/>
          <w:lang w:val="en-US" w:eastAsia="zh-CN"/>
        </w:rPr>
        <w:t>招收计划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bCs/>
          <w:sz w:val="28"/>
          <w:szCs w:val="36"/>
          <w:lang w:val="en-US" w:eastAsia="zh-CN"/>
        </w:rPr>
      </w:pPr>
      <w:r>
        <w:rPr>
          <w:rFonts w:hint="default"/>
          <w:b/>
          <w:bCs/>
          <w:sz w:val="28"/>
          <w:szCs w:val="36"/>
          <w:lang w:val="en-US" w:eastAsia="zh-CN"/>
        </w:rPr>
        <w:t>1.培训目标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按照国家住院医师规范化培训标准和要求进行系统培训，结业时具有良好的职业道德、扎实的医学理论知识和临床技能，能独立、规范地承担本专业常见多发疾病诊疗工作的临床医师。考核合格者取得国家统一制式的《住院医师规范化培训合格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bCs/>
          <w:sz w:val="28"/>
          <w:szCs w:val="36"/>
          <w:lang w:val="en-US" w:eastAsia="zh-CN"/>
        </w:rPr>
      </w:pPr>
      <w:r>
        <w:rPr>
          <w:rFonts w:hint="default"/>
          <w:b/>
          <w:bCs/>
          <w:sz w:val="28"/>
          <w:szCs w:val="36"/>
          <w:lang w:val="en-US" w:eastAsia="zh-CN"/>
        </w:rPr>
        <w:t>2.培训方式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执行国家卫生健康委和云南省卫生健康委住院医师规范化培训相关文件和制度，分专业在相关临床学科进行以临床实践为主、培育岗位胜任能力为核心的轮转培训。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bCs/>
          <w:sz w:val="28"/>
          <w:szCs w:val="36"/>
          <w:lang w:val="en-US" w:eastAsia="zh-CN"/>
        </w:rPr>
      </w:pPr>
      <w:r>
        <w:rPr>
          <w:rFonts w:hint="default"/>
          <w:b/>
          <w:bCs/>
          <w:sz w:val="28"/>
          <w:szCs w:val="36"/>
          <w:lang w:val="en-US" w:eastAsia="zh-CN"/>
        </w:rPr>
        <w:t>3.招生对象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 xml:space="preserve">符合临床类别医师资格考试报考条件规定专业范围应、往届本科及以上学历医学毕业生，或已取得《执业医师资格证书》需要接受培训的人员。以应届本科毕业生为重点，向来自县及县以下基层医疗卫生机构委派培训对象倾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（1）自主培训学员：指没有与任何单位签订人事或劳动合同的医学毕业生。培训期间，我院与自主培训学员根据培训年限签订劳动合同，培训结束后自主择业。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（2）单位委培学员：指送培单位在编职工或与单位签订正式聘用合同的职工。培训期间，我院与送培单位、培训学员签订三方委托培训协议，培训结业后回送培单位工作。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jc w:val="both"/>
        <w:textAlignment w:val="auto"/>
        <w:rPr>
          <w:rFonts w:hint="default"/>
          <w:b/>
          <w:bCs/>
          <w:sz w:val="28"/>
          <w:szCs w:val="36"/>
          <w:lang w:val="en-US" w:eastAsia="zh-CN"/>
        </w:rPr>
      </w:pPr>
      <w:r>
        <w:rPr>
          <w:rFonts w:hint="eastAsia"/>
          <w:b/>
          <w:bCs/>
          <w:sz w:val="28"/>
          <w:szCs w:val="36"/>
          <w:lang w:val="en-US" w:eastAsia="zh-CN"/>
        </w:rPr>
        <w:t>4.招收专业及招收计划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我院202</w:t>
      </w:r>
      <w:r>
        <w:rPr>
          <w:rFonts w:hint="eastAsia"/>
          <w:sz w:val="28"/>
          <w:szCs w:val="36"/>
          <w:lang w:val="en-US" w:eastAsia="zh-CN"/>
        </w:rPr>
        <w:t>3</w:t>
      </w:r>
      <w:r>
        <w:rPr>
          <w:rFonts w:hint="default"/>
          <w:sz w:val="28"/>
          <w:szCs w:val="36"/>
          <w:lang w:val="en-US" w:eastAsia="zh-CN"/>
        </w:rPr>
        <w:t>年度住院医师规范化培训招生专业为妇产科专业，国家计划内招生为</w:t>
      </w:r>
      <w:r>
        <w:rPr>
          <w:rFonts w:hint="eastAsia"/>
          <w:sz w:val="28"/>
          <w:szCs w:val="36"/>
          <w:lang w:val="en-US" w:eastAsia="zh-CN"/>
        </w:rPr>
        <w:t>6</w:t>
      </w:r>
      <w:r>
        <w:rPr>
          <w:rFonts w:hint="default"/>
          <w:sz w:val="28"/>
          <w:szCs w:val="36"/>
          <w:lang w:val="en-US" w:eastAsia="zh-CN"/>
        </w:rPr>
        <w:t>人。本年度医院将基于报名情况，并依据妇产科专业培训容量和学员综合素质择优录取。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p>
    <w:p>
      <w:pPr>
        <w:numPr>
          <w:ilvl w:val="0"/>
          <w:numId w:val="1"/>
        </w:numPr>
        <w:jc w:val="both"/>
        <w:rPr>
          <w:rFonts w:hint="default"/>
          <w:b/>
          <w:bCs/>
          <w:sz w:val="28"/>
          <w:szCs w:val="36"/>
          <w:lang w:val="en-US" w:eastAsia="zh-CN"/>
        </w:rPr>
      </w:pPr>
      <w:r>
        <w:rPr>
          <w:rFonts w:hint="eastAsia"/>
          <w:b/>
          <w:bCs/>
          <w:sz w:val="28"/>
          <w:szCs w:val="36"/>
          <w:lang w:val="en-US" w:eastAsia="zh-CN"/>
        </w:rPr>
        <w:t>招录安排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采取网上报名和现场确认相结合的方式进行。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网上报名</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6月10日10:00至6月30日22:00期间，申请培训人员可登录云南卫生健康人才网进行网上报名。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sz w:val="28"/>
          <w:szCs w:val="36"/>
          <w:lang w:val="en-US" w:eastAsia="zh-CN"/>
        </w:rPr>
      </w:pPr>
      <w:r>
        <w:rPr>
          <w:rFonts w:hint="eastAsia"/>
          <w:sz w:val="28"/>
          <w:szCs w:val="36"/>
          <w:lang w:val="en-US" w:eastAsia="zh-CN"/>
        </w:rPr>
        <w:t>（2）现场确认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现场确认：填报第一志愿为昆明市妇幼保健院培训基地的报名学员，须携带以下相关资料，于</w:t>
      </w:r>
      <w:r>
        <w:rPr>
          <w:rFonts w:hint="eastAsia"/>
          <w:sz w:val="28"/>
          <w:szCs w:val="36"/>
          <w:lang w:val="en-US" w:eastAsia="zh-CN"/>
        </w:rPr>
        <w:t>7</w:t>
      </w:r>
      <w:r>
        <w:rPr>
          <w:rFonts w:hint="default"/>
          <w:sz w:val="28"/>
          <w:szCs w:val="36"/>
          <w:lang w:val="en-US" w:eastAsia="zh-CN"/>
        </w:rPr>
        <w:t>月</w:t>
      </w:r>
      <w:r>
        <w:rPr>
          <w:rFonts w:hint="eastAsia"/>
          <w:sz w:val="28"/>
          <w:szCs w:val="36"/>
          <w:lang w:val="en-US" w:eastAsia="zh-CN"/>
        </w:rPr>
        <w:t>5</w:t>
      </w:r>
      <w:r>
        <w:rPr>
          <w:rFonts w:hint="default"/>
          <w:sz w:val="28"/>
          <w:szCs w:val="36"/>
          <w:lang w:val="en-US" w:eastAsia="zh-CN"/>
        </w:rPr>
        <w:t>日（8:30-11:30 13:00-17:00）到昆明市妇幼保健院</w:t>
      </w:r>
      <w:r>
        <w:rPr>
          <w:rFonts w:hint="eastAsia"/>
          <w:sz w:val="28"/>
          <w:szCs w:val="36"/>
          <w:lang w:val="en-US" w:eastAsia="zh-CN"/>
        </w:rPr>
        <w:t>科研教学部（华山西路5号2号楼7楼科研教学部）</w:t>
      </w:r>
      <w:r>
        <w:rPr>
          <w:rFonts w:hint="default"/>
          <w:sz w:val="28"/>
          <w:szCs w:val="36"/>
          <w:lang w:val="en-US" w:eastAsia="zh-CN"/>
        </w:rPr>
        <w:t>进行现场资格审查和确认：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①《住培报名表》（网报成功后打印），一式一份，完成审批手续后由培训基地留存。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②身份证、毕业证、学位证等相关证明材料原件及复印件各一份，原件审核后返还给本人。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③如已取得</w:t>
      </w:r>
      <w:bookmarkStart w:id="0" w:name="OLE_LINK1"/>
      <w:r>
        <w:rPr>
          <w:rFonts w:hint="default"/>
          <w:sz w:val="28"/>
          <w:szCs w:val="36"/>
          <w:lang w:val="en-US" w:eastAsia="zh-CN"/>
        </w:rPr>
        <w:t>执业医师资格证书</w:t>
      </w:r>
      <w:bookmarkEnd w:id="0"/>
      <w:r>
        <w:rPr>
          <w:rFonts w:hint="default"/>
          <w:sz w:val="28"/>
          <w:szCs w:val="36"/>
          <w:lang w:val="en-US" w:eastAsia="zh-CN"/>
        </w:rPr>
        <w:t>的需携带原件及复印件一份，原件审核后返还本人。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④单位委培学员:除按上述要求提交相关材料外，单位委派人员（含履约的订单定向免费医学毕业生）还需出具本单位同意报考的证明材料，填报的培训专业、培训基地医院等信息须与经单位盖章的介绍信保持一致。（详见附件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⑤申请并符合培训年限减免条件的需填报并提交《云南省住院医师规范化培训年限减免申请表》一式两份（详见附件二），并提交临床轮转记录手册完整复印件或临床轮转相关证明。</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both"/>
        <w:textAlignment w:val="auto"/>
        <w:rPr>
          <w:rFonts w:hint="eastAsia"/>
          <w:sz w:val="28"/>
          <w:szCs w:val="36"/>
          <w:lang w:val="en-US" w:eastAsia="zh-CN"/>
        </w:rPr>
      </w:pPr>
      <w:r>
        <w:rPr>
          <w:rFonts w:hint="eastAsia"/>
          <w:sz w:val="28"/>
          <w:szCs w:val="36"/>
          <w:lang w:val="en-US" w:eastAsia="zh-CN"/>
        </w:rPr>
        <w:t>（3）考核安排</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both"/>
        <w:textAlignment w:val="auto"/>
        <w:rPr>
          <w:rFonts w:hint="default"/>
          <w:sz w:val="28"/>
          <w:szCs w:val="36"/>
          <w:lang w:val="en-US" w:eastAsia="zh-CN"/>
        </w:rPr>
      </w:pPr>
      <w:r>
        <w:rPr>
          <w:rFonts w:hint="eastAsia"/>
          <w:sz w:val="28"/>
          <w:szCs w:val="36"/>
          <w:lang w:val="en-US" w:eastAsia="zh-CN"/>
        </w:rPr>
        <w:t>初步暂定7月6日上午9:00-11:00进行笔试；7月6日下午13：-17:00进行面试。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sz w:val="28"/>
          <w:szCs w:val="36"/>
          <w:lang w:val="en-US" w:eastAsia="zh-CN"/>
        </w:rPr>
      </w:pPr>
    </w:p>
    <w:p>
      <w:pPr>
        <w:numPr>
          <w:ilvl w:val="0"/>
          <w:numId w:val="1"/>
        </w:numPr>
        <w:jc w:val="both"/>
        <w:rPr>
          <w:rFonts w:hint="default"/>
          <w:b/>
          <w:bCs/>
          <w:sz w:val="28"/>
          <w:szCs w:val="36"/>
          <w:lang w:val="en-US" w:eastAsia="zh-CN"/>
        </w:rPr>
      </w:pPr>
      <w:r>
        <w:rPr>
          <w:rFonts w:hint="default"/>
          <w:b/>
          <w:bCs/>
          <w:sz w:val="28"/>
          <w:szCs w:val="36"/>
          <w:lang w:val="en-US" w:eastAsia="zh-CN"/>
        </w:rPr>
        <w:t>培训管理和质量保障措施</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通过住院医师规范化培训结业考核的培训学员，云南省卫健委按照国家卫健委的安排颁发统一制式的《住院医师规范化培训合格证书》。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eastAsia"/>
          <w:sz w:val="28"/>
          <w:szCs w:val="36"/>
          <w:lang w:val="en-US" w:eastAsia="zh-CN"/>
        </w:rPr>
        <w:t>按照国家卫健委要求，落实住培“两个同等对待”。</w:t>
      </w:r>
    </w:p>
    <w:p>
      <w:pPr>
        <w:numPr>
          <w:ilvl w:val="0"/>
          <w:numId w:val="0"/>
        </w:numPr>
        <w:jc w:val="both"/>
        <w:rPr>
          <w:rFonts w:hint="default"/>
          <w:sz w:val="28"/>
          <w:szCs w:val="36"/>
          <w:lang w:val="en-US" w:eastAsia="zh-CN"/>
        </w:rPr>
      </w:pPr>
      <w:r>
        <w:rPr>
          <w:rFonts w:hint="eastAsia"/>
          <w:b/>
          <w:bCs/>
          <w:sz w:val="28"/>
          <w:szCs w:val="36"/>
          <w:lang w:val="en-US" w:eastAsia="zh-CN"/>
        </w:rPr>
        <w:t xml:space="preserve">   </w:t>
      </w:r>
      <w:r>
        <w:rPr>
          <w:rFonts w:hint="eastAsia"/>
          <w:sz w:val="28"/>
          <w:szCs w:val="36"/>
          <w:lang w:val="en-US" w:eastAsia="zh-CN"/>
        </w:rPr>
        <w:t xml:space="preserve"> （3）质量保障方面，医院妇产科基地满足国家住院医师规范化培训的培训要求，包括管床、操作等教学要求。医院妇产科规培基地拥有师资45人，省级及以上师资32人，国家级考官22人。</w:t>
      </w:r>
    </w:p>
    <w:p>
      <w:pPr>
        <w:numPr>
          <w:ilvl w:val="0"/>
          <w:numId w:val="1"/>
        </w:numPr>
        <w:jc w:val="both"/>
        <w:rPr>
          <w:rFonts w:hint="default"/>
          <w:b/>
          <w:bCs/>
          <w:sz w:val="28"/>
          <w:szCs w:val="36"/>
          <w:lang w:val="en-US" w:eastAsia="zh-CN"/>
        </w:rPr>
      </w:pPr>
      <w:r>
        <w:rPr>
          <w:rFonts w:hint="default"/>
          <w:b/>
          <w:bCs/>
          <w:sz w:val="28"/>
          <w:szCs w:val="36"/>
          <w:lang w:val="en-US" w:eastAsia="zh-CN"/>
        </w:rPr>
        <w:t>培训期间薪酬待遇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eastAsia"/>
          <w:sz w:val="28"/>
          <w:szCs w:val="36"/>
          <w:lang w:val="en-US" w:eastAsia="zh-CN"/>
        </w:rPr>
        <w:t>（1）</w:t>
      </w:r>
      <w:r>
        <w:rPr>
          <w:rFonts w:hint="default"/>
          <w:sz w:val="28"/>
          <w:szCs w:val="36"/>
          <w:lang w:val="en-US" w:eastAsia="zh-CN"/>
        </w:rPr>
        <w:t>按照国家、云南省卫健委、医院相关文件要求进行统一培训过程和待遇管理，按时、足额发放学员补助。根据20</w:t>
      </w:r>
      <w:r>
        <w:rPr>
          <w:rFonts w:hint="eastAsia"/>
          <w:sz w:val="28"/>
          <w:szCs w:val="36"/>
          <w:lang w:val="en-US" w:eastAsia="zh-CN"/>
        </w:rPr>
        <w:t>22</w:t>
      </w:r>
      <w:r>
        <w:rPr>
          <w:rFonts w:hint="default"/>
          <w:sz w:val="28"/>
          <w:szCs w:val="36"/>
          <w:lang w:val="en-US" w:eastAsia="zh-CN"/>
        </w:rPr>
        <w:t>年数据，我院一年级学员年收入6万</w:t>
      </w:r>
      <w:r>
        <w:rPr>
          <w:rFonts w:hint="eastAsia"/>
          <w:sz w:val="28"/>
          <w:szCs w:val="36"/>
          <w:lang w:val="en-US" w:eastAsia="zh-CN"/>
        </w:rPr>
        <w:t>-8万</w:t>
      </w:r>
      <w:r>
        <w:rPr>
          <w:rFonts w:hint="default"/>
          <w:sz w:val="28"/>
          <w:szCs w:val="36"/>
          <w:lang w:val="en-US" w:eastAsia="zh-CN"/>
        </w:rPr>
        <w:t>左右；二年级学员年收入</w:t>
      </w:r>
      <w:r>
        <w:rPr>
          <w:rFonts w:hint="eastAsia"/>
          <w:sz w:val="28"/>
          <w:szCs w:val="36"/>
          <w:lang w:val="en-US" w:eastAsia="zh-CN"/>
        </w:rPr>
        <w:t>9万-10</w:t>
      </w:r>
      <w:r>
        <w:rPr>
          <w:rFonts w:hint="default"/>
          <w:sz w:val="28"/>
          <w:szCs w:val="36"/>
          <w:lang w:val="en-US" w:eastAsia="zh-CN"/>
        </w:rPr>
        <w:t>万左右、三年级学员年收入</w:t>
      </w:r>
      <w:r>
        <w:rPr>
          <w:rFonts w:hint="eastAsia"/>
          <w:sz w:val="28"/>
          <w:szCs w:val="36"/>
          <w:lang w:val="en-US" w:eastAsia="zh-CN"/>
        </w:rPr>
        <w:t>10万-11</w:t>
      </w:r>
      <w:r>
        <w:rPr>
          <w:rFonts w:hint="default"/>
          <w:sz w:val="28"/>
          <w:szCs w:val="36"/>
          <w:lang w:val="en-US" w:eastAsia="zh-CN"/>
        </w:rPr>
        <w:t>万左右。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w:t>
      </w:r>
      <w:r>
        <w:rPr>
          <w:rFonts w:hint="eastAsia"/>
          <w:sz w:val="28"/>
          <w:szCs w:val="36"/>
          <w:lang w:val="en-US" w:eastAsia="zh-CN"/>
        </w:rPr>
        <w:t>2</w:t>
      </w:r>
      <w:r>
        <w:rPr>
          <w:rFonts w:hint="default"/>
          <w:sz w:val="28"/>
          <w:szCs w:val="36"/>
          <w:lang w:val="en-US" w:eastAsia="zh-CN"/>
        </w:rPr>
        <w:t>）绩效管理根据《昆明市妇幼保健院关于规培生绩效发放的规定》《昆明市妇幼保健院关于规培生绩效发放调整的通知》进行发放。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default"/>
          <w:sz w:val="28"/>
          <w:szCs w:val="36"/>
          <w:lang w:val="en-US" w:eastAsia="zh-CN"/>
        </w:rPr>
        <w:t>（</w:t>
      </w:r>
      <w:r>
        <w:rPr>
          <w:rFonts w:hint="eastAsia"/>
          <w:sz w:val="28"/>
          <w:szCs w:val="36"/>
          <w:lang w:val="en-US" w:eastAsia="zh-CN"/>
        </w:rPr>
        <w:t>3</w:t>
      </w:r>
      <w:r>
        <w:rPr>
          <w:rFonts w:hint="default"/>
          <w:sz w:val="28"/>
          <w:szCs w:val="36"/>
          <w:lang w:val="en-US" w:eastAsia="zh-CN"/>
        </w:rPr>
        <w:t>）为社会学员购买“五险一金”，签订劳动合同。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b/>
          <w:bCs/>
          <w:sz w:val="28"/>
          <w:szCs w:val="36"/>
          <w:lang w:val="en-US" w:eastAsia="zh-CN"/>
        </w:rPr>
      </w:pPr>
      <w:r>
        <w:rPr>
          <w:rFonts w:hint="default"/>
          <w:sz w:val="28"/>
          <w:szCs w:val="36"/>
          <w:lang w:val="en-US" w:eastAsia="zh-CN"/>
        </w:rPr>
        <w:t>（</w:t>
      </w:r>
      <w:r>
        <w:rPr>
          <w:rFonts w:hint="eastAsia"/>
          <w:sz w:val="28"/>
          <w:szCs w:val="36"/>
          <w:lang w:val="en-US" w:eastAsia="zh-CN"/>
        </w:rPr>
        <w:t>4</w:t>
      </w:r>
      <w:r>
        <w:rPr>
          <w:rFonts w:hint="default"/>
          <w:sz w:val="28"/>
          <w:szCs w:val="36"/>
          <w:lang w:val="en-US" w:eastAsia="zh-CN"/>
        </w:rPr>
        <w:t>）为学员提供免费住宿。</w:t>
      </w:r>
    </w:p>
    <w:p>
      <w:pPr>
        <w:numPr>
          <w:ilvl w:val="0"/>
          <w:numId w:val="1"/>
        </w:numPr>
        <w:jc w:val="both"/>
        <w:rPr>
          <w:rFonts w:hint="default"/>
          <w:b/>
          <w:bCs/>
          <w:sz w:val="28"/>
          <w:szCs w:val="36"/>
          <w:lang w:val="en-US" w:eastAsia="zh-CN"/>
        </w:rPr>
      </w:pPr>
      <w:r>
        <w:rPr>
          <w:rFonts w:hint="eastAsia"/>
          <w:b/>
          <w:bCs/>
          <w:sz w:val="28"/>
          <w:szCs w:val="36"/>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eastAsia"/>
          <w:sz w:val="28"/>
          <w:szCs w:val="36"/>
          <w:lang w:val="en-US" w:eastAsia="zh-CN"/>
        </w:rPr>
        <w:t>（1）</w:t>
      </w:r>
      <w:r>
        <w:rPr>
          <w:rFonts w:hint="default"/>
          <w:sz w:val="28"/>
          <w:szCs w:val="36"/>
          <w:lang w:val="en-US" w:eastAsia="zh-CN"/>
        </w:rPr>
        <w:t>根据有关规定，对在培训招收工作中弄虚作假的培训申请人，取消其本次报名、录取资格；对录取后（注：以培训基地网上录取操作时间）不按要求报到或报到签订培训协议后退出、终止培训者（含在培人员参加全日制研究生学历教育），自终止培训起3年内不得报名参加住培（或2年内不得报名参加助培），除全部退还已享受的相关费用，还需按以上已享受费用的50%作为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sz w:val="28"/>
          <w:szCs w:val="36"/>
          <w:lang w:val="en-US" w:eastAsia="zh-CN"/>
        </w:rPr>
      </w:pPr>
      <w:r>
        <w:rPr>
          <w:rFonts w:hint="eastAsia"/>
          <w:sz w:val="28"/>
          <w:szCs w:val="36"/>
          <w:lang w:val="en-US" w:eastAsia="zh-CN"/>
        </w:rPr>
        <w:t>（2）</w:t>
      </w:r>
      <w:r>
        <w:rPr>
          <w:rFonts w:hint="default"/>
          <w:sz w:val="28"/>
          <w:szCs w:val="36"/>
          <w:lang w:val="en-US" w:eastAsia="zh-CN"/>
        </w:rPr>
        <w:t>申请培训人员应确认所报志愿并保证其无退出或终止培训等记录，并随时关注所报培训基地发布的消息和公告，服从培训基地招收工作安排。招收过程中无故缺席相关审核、考试、面试、报到等环节者，视为个人原因主动放弃，并承担相关责任后果。</w:t>
      </w:r>
    </w:p>
    <w:p>
      <w:pPr>
        <w:numPr>
          <w:ilvl w:val="0"/>
          <w:numId w:val="0"/>
        </w:numPr>
        <w:jc w:val="both"/>
        <w:rPr>
          <w:rFonts w:hint="default"/>
          <w:b/>
          <w:bCs/>
          <w:sz w:val="28"/>
          <w:szCs w:val="36"/>
          <w:lang w:val="en-US" w:eastAsia="zh-CN"/>
        </w:rPr>
      </w:pPr>
    </w:p>
    <w:p>
      <w:pPr>
        <w:numPr>
          <w:ilvl w:val="0"/>
          <w:numId w:val="1"/>
        </w:numPr>
        <w:jc w:val="both"/>
        <w:rPr>
          <w:rFonts w:hint="default"/>
          <w:b/>
          <w:bCs/>
          <w:sz w:val="28"/>
          <w:szCs w:val="36"/>
          <w:lang w:val="en-US" w:eastAsia="zh-CN"/>
        </w:rPr>
      </w:pPr>
      <w:r>
        <w:rPr>
          <w:rFonts w:hint="eastAsia"/>
          <w:b/>
          <w:bCs/>
          <w:sz w:val="28"/>
          <w:szCs w:val="36"/>
          <w:lang w:val="en-US" w:eastAsia="zh-CN"/>
        </w:rPr>
        <w:t>联系方式</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联系人：周老师</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联系电话：</w:t>
      </w:r>
      <w:r>
        <w:rPr>
          <w:rFonts w:hint="eastAsia"/>
          <w:b w:val="0"/>
          <w:bCs w:val="0"/>
          <w:sz w:val="28"/>
          <w:szCs w:val="36"/>
          <w:lang w:val="en-US" w:eastAsia="zh-CN"/>
        </w:rPr>
        <w:t>15096672815</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联系地址：云南省昆明市五华区</w:t>
      </w:r>
      <w:r>
        <w:rPr>
          <w:rFonts w:hint="eastAsia"/>
          <w:b w:val="0"/>
          <w:bCs w:val="0"/>
          <w:sz w:val="28"/>
          <w:szCs w:val="36"/>
          <w:lang w:val="en-US" w:eastAsia="zh-CN"/>
        </w:rPr>
        <w:t>华山西路5号昆明市妇幼保健院2号楼7楼</w:t>
      </w:r>
    </w:p>
    <w:p>
      <w:pPr>
        <w:widowControl w:val="0"/>
        <w:numPr>
          <w:ilvl w:val="0"/>
          <w:numId w:val="0"/>
        </w:numPr>
        <w:jc w:val="both"/>
        <w:rPr>
          <w:rFonts w:hint="eastAsia"/>
          <w:b w:val="0"/>
          <w:bCs w:val="0"/>
          <w:sz w:val="28"/>
          <w:szCs w:val="36"/>
          <w:lang w:val="en-US" w:eastAsia="zh-CN"/>
        </w:rPr>
      </w:pPr>
      <w:r>
        <w:rPr>
          <w:rFonts w:hint="default"/>
          <w:b w:val="0"/>
          <w:bCs w:val="0"/>
          <w:sz w:val="28"/>
          <w:szCs w:val="36"/>
          <w:lang w:val="en-US" w:eastAsia="zh-CN"/>
        </w:rPr>
        <w:t>邮政编码：65003</w:t>
      </w:r>
      <w:r>
        <w:rPr>
          <w:rFonts w:hint="eastAsia"/>
          <w:b w:val="0"/>
          <w:bCs w:val="0"/>
          <w:sz w:val="28"/>
          <w:szCs w:val="36"/>
          <w:lang w:val="en-US" w:eastAsia="zh-CN"/>
        </w:rPr>
        <w:t>2</w:t>
      </w:r>
    </w:p>
    <w:p>
      <w:pPr>
        <w:widowControl w:val="0"/>
        <w:numPr>
          <w:ilvl w:val="0"/>
          <w:numId w:val="0"/>
        </w:numPr>
        <w:jc w:val="both"/>
        <w:rPr>
          <w:rFonts w:hint="eastAsia"/>
          <w:b w:val="0"/>
          <w:bCs w:val="0"/>
          <w:sz w:val="28"/>
          <w:szCs w:val="36"/>
          <w:lang w:val="en-US" w:eastAsia="zh-CN"/>
        </w:rPr>
      </w:pPr>
    </w:p>
    <w:p>
      <w:pPr>
        <w:widowControl w:val="0"/>
        <w:numPr>
          <w:ilvl w:val="0"/>
          <w:numId w:val="0"/>
        </w:numPr>
        <w:jc w:val="both"/>
        <w:rPr>
          <w:rFonts w:hint="eastAsia"/>
          <w:b w:val="0"/>
          <w:bCs w:val="0"/>
          <w:sz w:val="28"/>
          <w:szCs w:val="36"/>
          <w:lang w:val="en-US" w:eastAsia="zh-CN"/>
        </w:rPr>
      </w:pPr>
    </w:p>
    <w:p>
      <w:pPr>
        <w:widowControl w:val="0"/>
        <w:numPr>
          <w:ilvl w:val="0"/>
          <w:numId w:val="0"/>
        </w:numPr>
        <w:jc w:val="both"/>
        <w:rPr>
          <w:rFonts w:hint="eastAsia"/>
          <w:b w:val="0"/>
          <w:bCs w:val="0"/>
          <w:sz w:val="28"/>
          <w:szCs w:val="36"/>
          <w:lang w:val="en-US" w:eastAsia="zh-CN"/>
        </w:rPr>
      </w:pPr>
    </w:p>
    <w:p>
      <w:pPr>
        <w:widowControl w:val="0"/>
        <w:numPr>
          <w:ilvl w:val="0"/>
          <w:numId w:val="0"/>
        </w:numPr>
        <w:jc w:val="both"/>
        <w:rPr>
          <w:rFonts w:hint="eastAsia"/>
          <w:b w:val="0"/>
          <w:bCs w:val="0"/>
          <w:sz w:val="28"/>
          <w:szCs w:val="36"/>
          <w:lang w:val="en-US" w:eastAsia="zh-CN"/>
        </w:rPr>
      </w:pP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附件</w:t>
      </w:r>
      <w:r>
        <w:rPr>
          <w:rFonts w:hint="eastAsia"/>
          <w:b w:val="0"/>
          <w:bCs w:val="0"/>
          <w:sz w:val="28"/>
          <w:szCs w:val="36"/>
          <w:lang w:val="en-US" w:eastAsia="zh-CN"/>
        </w:rPr>
        <w:t>一</w:t>
      </w:r>
      <w:r>
        <w:rPr>
          <w:rFonts w:hint="default"/>
          <w:b w:val="0"/>
          <w:bCs w:val="0"/>
          <w:sz w:val="28"/>
          <w:szCs w:val="36"/>
          <w:lang w:val="en-US" w:eastAsia="zh-CN"/>
        </w:rPr>
        <w:t>：</w:t>
      </w:r>
      <w:r>
        <w:rPr>
          <w:rFonts w:hint="default"/>
          <w:b w:val="0"/>
          <w:bCs w:val="0"/>
          <w:sz w:val="28"/>
          <w:szCs w:val="36"/>
          <w:lang w:val="en-US" w:eastAsia="zh-CN"/>
        </w:rPr>
        <w:br w:type="textWrapping"/>
      </w:r>
      <w:r>
        <w:rPr>
          <w:rFonts w:hint="default"/>
          <w:b w:val="0"/>
          <w:bCs w:val="0"/>
          <w:sz w:val="28"/>
          <w:szCs w:val="36"/>
          <w:lang w:val="en-US" w:eastAsia="zh-CN"/>
        </w:rPr>
        <w:t>昆明市妇幼保健院关于开具2022年住培招录报名证明、介绍信相关要求</w:t>
      </w:r>
      <w:r>
        <w:rPr>
          <w:rFonts w:hint="default"/>
          <w:b w:val="0"/>
          <w:bCs w:val="0"/>
          <w:sz w:val="28"/>
          <w:szCs w:val="36"/>
          <w:lang w:val="en-US" w:eastAsia="zh-CN"/>
        </w:rPr>
        <w:br w:type="textWrapping"/>
      </w:r>
      <w:r>
        <w:rPr>
          <w:rFonts w:hint="default"/>
          <w:b w:val="0"/>
          <w:bCs w:val="0"/>
          <w:sz w:val="28"/>
          <w:szCs w:val="36"/>
          <w:lang w:val="en-US" w:eastAsia="zh-CN"/>
        </w:rPr>
        <w:t>请外单位委托培养注意2022年6月29日现场确认时需提交的一份委托培养证明的内容应涵盖以下几个方面：</w:t>
      </w:r>
      <w:r>
        <w:rPr>
          <w:rFonts w:hint="default"/>
          <w:b w:val="0"/>
          <w:bCs w:val="0"/>
          <w:sz w:val="28"/>
          <w:szCs w:val="36"/>
          <w:lang w:val="en-US" w:eastAsia="zh-CN"/>
        </w:rPr>
        <w:br w:type="textWrapping"/>
      </w:r>
      <w:r>
        <w:rPr>
          <w:rFonts w:hint="default"/>
          <w:b w:val="0"/>
          <w:bCs w:val="0"/>
          <w:sz w:val="28"/>
          <w:szCs w:val="36"/>
          <w:lang w:val="en-US" w:eastAsia="zh-CN"/>
        </w:rPr>
        <w:t>一、标题：2022年住院医师规范化培训委托培养证明、介绍信</w:t>
      </w:r>
      <w:r>
        <w:rPr>
          <w:rFonts w:hint="default"/>
          <w:b w:val="0"/>
          <w:bCs w:val="0"/>
          <w:sz w:val="28"/>
          <w:szCs w:val="36"/>
          <w:lang w:val="en-US" w:eastAsia="zh-CN"/>
        </w:rPr>
        <w:br w:type="textWrapping"/>
      </w:r>
      <w:r>
        <w:rPr>
          <w:rFonts w:hint="default"/>
          <w:b w:val="0"/>
          <w:bCs w:val="0"/>
          <w:sz w:val="28"/>
          <w:szCs w:val="36"/>
          <w:lang w:val="en-US" w:eastAsia="zh-CN"/>
        </w:rPr>
        <w:t>二、正文内容：</w:t>
      </w:r>
      <w:r>
        <w:rPr>
          <w:rFonts w:hint="default"/>
          <w:b w:val="0"/>
          <w:bCs w:val="0"/>
          <w:sz w:val="28"/>
          <w:szCs w:val="36"/>
          <w:lang w:val="en-US" w:eastAsia="zh-CN"/>
        </w:rPr>
        <w:br w:type="textWrapping"/>
      </w:r>
      <w:r>
        <w:rPr>
          <w:rFonts w:hint="default"/>
          <w:b w:val="0"/>
          <w:bCs w:val="0"/>
          <w:sz w:val="28"/>
          <w:szCs w:val="36"/>
          <w:lang w:val="en-US" w:eastAsia="zh-CN"/>
        </w:rPr>
        <w:t>1、姓名；</w:t>
      </w:r>
      <w:r>
        <w:rPr>
          <w:rFonts w:hint="default"/>
          <w:b w:val="0"/>
          <w:bCs w:val="0"/>
          <w:sz w:val="28"/>
          <w:szCs w:val="36"/>
          <w:lang w:val="en-US" w:eastAsia="zh-CN"/>
        </w:rPr>
        <w:br w:type="textWrapping"/>
      </w:r>
      <w:r>
        <w:rPr>
          <w:rFonts w:hint="default"/>
          <w:b w:val="0"/>
          <w:bCs w:val="0"/>
          <w:sz w:val="28"/>
          <w:szCs w:val="36"/>
          <w:lang w:val="en-US" w:eastAsia="zh-CN"/>
        </w:rPr>
        <w:t>2、性别；</w:t>
      </w:r>
      <w:r>
        <w:rPr>
          <w:rFonts w:hint="default"/>
          <w:b w:val="0"/>
          <w:bCs w:val="0"/>
          <w:sz w:val="28"/>
          <w:szCs w:val="36"/>
          <w:lang w:val="en-US" w:eastAsia="zh-CN"/>
        </w:rPr>
        <w:br w:type="textWrapping"/>
      </w:r>
      <w:r>
        <w:rPr>
          <w:rFonts w:hint="default"/>
          <w:b w:val="0"/>
          <w:bCs w:val="0"/>
          <w:sz w:val="28"/>
          <w:szCs w:val="36"/>
          <w:lang w:val="en-US" w:eastAsia="zh-CN"/>
        </w:rPr>
        <w:t>3、身份证号；</w:t>
      </w:r>
      <w:r>
        <w:rPr>
          <w:rFonts w:hint="default"/>
          <w:b w:val="0"/>
          <w:bCs w:val="0"/>
          <w:sz w:val="28"/>
          <w:szCs w:val="36"/>
          <w:lang w:val="en-US" w:eastAsia="zh-CN"/>
        </w:rPr>
        <w:br w:type="textWrapping"/>
      </w:r>
      <w:r>
        <w:rPr>
          <w:rFonts w:hint="default"/>
          <w:b w:val="0"/>
          <w:bCs w:val="0"/>
          <w:sz w:val="28"/>
          <w:szCs w:val="36"/>
          <w:lang w:val="en-US" w:eastAsia="zh-CN"/>
        </w:rPr>
        <w:t>4、何时与何用人单位签订了劳动合同协议；</w:t>
      </w:r>
      <w:r>
        <w:rPr>
          <w:rFonts w:hint="default"/>
          <w:b w:val="0"/>
          <w:bCs w:val="0"/>
          <w:sz w:val="28"/>
          <w:szCs w:val="36"/>
          <w:lang w:val="en-US" w:eastAsia="zh-CN"/>
        </w:rPr>
        <w:br w:type="textWrapping"/>
      </w:r>
      <w:r>
        <w:rPr>
          <w:rFonts w:hint="default"/>
          <w:b w:val="0"/>
          <w:bCs w:val="0"/>
          <w:sz w:val="28"/>
          <w:szCs w:val="36"/>
          <w:lang w:val="en-US" w:eastAsia="zh-CN"/>
        </w:rPr>
        <w:t>5、用人单位愿意委托昆明市妇幼保健院对该职工进行住院医师规范化培训；</w:t>
      </w:r>
      <w:r>
        <w:rPr>
          <w:rFonts w:hint="default"/>
          <w:b w:val="0"/>
          <w:bCs w:val="0"/>
          <w:sz w:val="28"/>
          <w:szCs w:val="36"/>
          <w:lang w:val="en-US" w:eastAsia="zh-CN"/>
        </w:rPr>
        <w:br w:type="textWrapping"/>
      </w:r>
      <w:r>
        <w:rPr>
          <w:rFonts w:hint="default"/>
          <w:b w:val="0"/>
          <w:bCs w:val="0"/>
          <w:sz w:val="28"/>
          <w:szCs w:val="36"/>
          <w:lang w:val="en-US" w:eastAsia="zh-CN"/>
        </w:rPr>
        <w:t>6、用人单位按照云南省卫生健康委《云南省住院医师规范化培训管理办法（试行）》的文件要求，承担委托培养对象培训期间基本工资的发放和社会保险、住房公积金的缴纳。</w:t>
      </w:r>
      <w:r>
        <w:rPr>
          <w:rFonts w:hint="default"/>
          <w:b w:val="0"/>
          <w:bCs w:val="0"/>
          <w:sz w:val="28"/>
          <w:szCs w:val="36"/>
          <w:lang w:val="en-US" w:eastAsia="zh-CN"/>
        </w:rPr>
        <w:br w:type="textWrapping"/>
      </w:r>
      <w:r>
        <w:rPr>
          <w:rFonts w:hint="default"/>
          <w:b w:val="0"/>
          <w:bCs w:val="0"/>
          <w:sz w:val="28"/>
          <w:szCs w:val="36"/>
          <w:lang w:val="en-US" w:eastAsia="zh-CN"/>
        </w:rPr>
        <w:t>三、用人单位落款签字盖章（原件）</w:t>
      </w: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附件二：</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云南省住院医师规范化培训年限减免申请表</w:t>
      </w:r>
    </w:p>
    <w:tbl>
      <w:tblPr>
        <w:tblStyle w:val="3"/>
        <w:tblW w:w="9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066"/>
        <w:gridCol w:w="2113"/>
        <w:gridCol w:w="66"/>
        <w:gridCol w:w="1164"/>
        <w:gridCol w:w="992"/>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3" w:hRule="atLeast"/>
          <w:jc w:val="center"/>
        </w:trPr>
        <w:tc>
          <w:tcPr>
            <w:tcW w:w="1086"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基地</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医院名称</w:t>
            </w:r>
          </w:p>
        </w:tc>
        <w:tc>
          <w:tcPr>
            <w:tcW w:w="3245" w:type="dxa"/>
            <w:gridSpan w:val="3"/>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昆明市妇幼保健院</w:t>
            </w:r>
          </w:p>
        </w:tc>
        <w:tc>
          <w:tcPr>
            <w:tcW w:w="1164"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培  训</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专  业</w:t>
            </w:r>
          </w:p>
        </w:tc>
        <w:tc>
          <w:tcPr>
            <w:tcW w:w="3709" w:type="dxa"/>
            <w:gridSpan w:val="2"/>
            <w:noWrap w:val="0"/>
            <w:vAlign w:val="center"/>
          </w:tcPr>
          <w:p>
            <w:pPr>
              <w:widowControl w:val="0"/>
              <w:numPr>
                <w:ilvl w:val="0"/>
                <w:numId w:val="0"/>
              </w:numPr>
              <w:jc w:val="both"/>
              <w:rPr>
                <w:rFonts w:hint="default"/>
                <w:b w:val="0"/>
                <w:bCs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086"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姓  名</w:t>
            </w:r>
          </w:p>
        </w:tc>
        <w:tc>
          <w:tcPr>
            <w:tcW w:w="3245" w:type="dxa"/>
            <w:gridSpan w:val="3"/>
            <w:noWrap w:val="0"/>
            <w:vAlign w:val="center"/>
          </w:tcPr>
          <w:p>
            <w:pPr>
              <w:widowControl w:val="0"/>
              <w:numPr>
                <w:ilvl w:val="0"/>
                <w:numId w:val="0"/>
              </w:numPr>
              <w:jc w:val="both"/>
              <w:rPr>
                <w:rFonts w:hint="default"/>
                <w:b w:val="0"/>
                <w:bCs w:val="0"/>
                <w:sz w:val="28"/>
                <w:szCs w:val="36"/>
                <w:lang w:val="en-US" w:eastAsia="zh-CN"/>
              </w:rPr>
            </w:pPr>
          </w:p>
        </w:tc>
        <w:tc>
          <w:tcPr>
            <w:tcW w:w="1164"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性  别</w:t>
            </w:r>
          </w:p>
        </w:tc>
        <w:tc>
          <w:tcPr>
            <w:tcW w:w="3709" w:type="dxa"/>
            <w:gridSpan w:val="2"/>
            <w:noWrap w:val="0"/>
            <w:vAlign w:val="center"/>
          </w:tcPr>
          <w:p>
            <w:pPr>
              <w:widowControl w:val="0"/>
              <w:numPr>
                <w:ilvl w:val="0"/>
                <w:numId w:val="0"/>
              </w:numPr>
              <w:jc w:val="both"/>
              <w:rPr>
                <w:rFonts w:hint="default"/>
                <w:b w:val="0"/>
                <w:bCs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1086"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毕 业</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院 校</w:t>
            </w:r>
          </w:p>
        </w:tc>
        <w:tc>
          <w:tcPr>
            <w:tcW w:w="3245" w:type="dxa"/>
            <w:gridSpan w:val="3"/>
            <w:noWrap w:val="0"/>
            <w:vAlign w:val="center"/>
          </w:tcPr>
          <w:p>
            <w:pPr>
              <w:widowControl w:val="0"/>
              <w:numPr>
                <w:ilvl w:val="0"/>
                <w:numId w:val="0"/>
              </w:numPr>
              <w:jc w:val="both"/>
              <w:rPr>
                <w:rFonts w:hint="default"/>
                <w:b w:val="0"/>
                <w:bCs w:val="0"/>
                <w:sz w:val="28"/>
                <w:szCs w:val="36"/>
                <w:lang w:val="en-US" w:eastAsia="zh-CN"/>
              </w:rPr>
            </w:pPr>
          </w:p>
        </w:tc>
        <w:tc>
          <w:tcPr>
            <w:tcW w:w="1164"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学  制</w:t>
            </w:r>
          </w:p>
        </w:tc>
        <w:tc>
          <w:tcPr>
            <w:tcW w:w="3709" w:type="dxa"/>
            <w:gridSpan w:val="2"/>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□7年制           □8年制</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□专业型硕士       □专业型博士</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086" w:type="dxa"/>
            <w:vMerge w:val="restart"/>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硕  士</w:t>
            </w:r>
          </w:p>
        </w:tc>
        <w:tc>
          <w:tcPr>
            <w:tcW w:w="1066"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毕业</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专业</w:t>
            </w:r>
          </w:p>
        </w:tc>
        <w:tc>
          <w:tcPr>
            <w:tcW w:w="2179" w:type="dxa"/>
            <w:gridSpan w:val="2"/>
            <w:noWrap w:val="0"/>
            <w:vAlign w:val="center"/>
          </w:tcPr>
          <w:p>
            <w:pPr>
              <w:widowControl w:val="0"/>
              <w:numPr>
                <w:ilvl w:val="0"/>
                <w:numId w:val="0"/>
              </w:numPr>
              <w:jc w:val="both"/>
              <w:rPr>
                <w:rFonts w:hint="default"/>
                <w:b w:val="0"/>
                <w:bCs w:val="0"/>
                <w:sz w:val="28"/>
                <w:szCs w:val="36"/>
                <w:lang w:val="en-US" w:eastAsia="zh-CN"/>
              </w:rPr>
            </w:pPr>
          </w:p>
        </w:tc>
        <w:tc>
          <w:tcPr>
            <w:tcW w:w="1164" w:type="dxa"/>
            <w:vMerge w:val="restart"/>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博  士</w:t>
            </w:r>
          </w:p>
        </w:tc>
        <w:tc>
          <w:tcPr>
            <w:tcW w:w="992"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毕业</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专业</w:t>
            </w:r>
          </w:p>
        </w:tc>
        <w:tc>
          <w:tcPr>
            <w:tcW w:w="2717" w:type="dxa"/>
            <w:noWrap w:val="0"/>
            <w:vAlign w:val="center"/>
          </w:tcPr>
          <w:p>
            <w:pPr>
              <w:widowControl w:val="0"/>
              <w:numPr>
                <w:ilvl w:val="0"/>
                <w:numId w:val="0"/>
              </w:numPr>
              <w:jc w:val="both"/>
              <w:rPr>
                <w:rFonts w:hint="default"/>
                <w:b w:val="0"/>
                <w:bCs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086" w:type="dxa"/>
            <w:vMerge w:val="continue"/>
            <w:noWrap w:val="0"/>
            <w:vAlign w:val="center"/>
          </w:tcPr>
          <w:p>
            <w:pPr>
              <w:widowControl w:val="0"/>
              <w:numPr>
                <w:ilvl w:val="0"/>
                <w:numId w:val="0"/>
              </w:numPr>
              <w:jc w:val="both"/>
              <w:rPr>
                <w:rFonts w:hint="default"/>
                <w:b w:val="0"/>
                <w:bCs w:val="0"/>
                <w:sz w:val="28"/>
                <w:szCs w:val="36"/>
                <w:lang w:val="en-US" w:eastAsia="zh-CN"/>
              </w:rPr>
            </w:pPr>
          </w:p>
        </w:tc>
        <w:tc>
          <w:tcPr>
            <w:tcW w:w="1066"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毕业</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时间</w:t>
            </w:r>
          </w:p>
        </w:tc>
        <w:tc>
          <w:tcPr>
            <w:tcW w:w="2179" w:type="dxa"/>
            <w:gridSpan w:val="2"/>
            <w:noWrap w:val="0"/>
            <w:vAlign w:val="center"/>
          </w:tcPr>
          <w:p>
            <w:pPr>
              <w:widowControl w:val="0"/>
              <w:numPr>
                <w:ilvl w:val="0"/>
                <w:numId w:val="0"/>
              </w:numPr>
              <w:jc w:val="both"/>
              <w:rPr>
                <w:rFonts w:hint="default"/>
                <w:b w:val="0"/>
                <w:bCs w:val="0"/>
                <w:sz w:val="28"/>
                <w:szCs w:val="36"/>
                <w:lang w:val="en-US" w:eastAsia="zh-CN"/>
              </w:rPr>
            </w:pPr>
          </w:p>
        </w:tc>
        <w:tc>
          <w:tcPr>
            <w:tcW w:w="1164" w:type="dxa"/>
            <w:vMerge w:val="continue"/>
            <w:noWrap w:val="0"/>
            <w:vAlign w:val="center"/>
          </w:tcPr>
          <w:p>
            <w:pPr>
              <w:widowControl w:val="0"/>
              <w:numPr>
                <w:ilvl w:val="0"/>
                <w:numId w:val="0"/>
              </w:numPr>
              <w:jc w:val="both"/>
              <w:rPr>
                <w:rFonts w:hint="default"/>
                <w:b w:val="0"/>
                <w:bCs w:val="0"/>
                <w:sz w:val="28"/>
                <w:szCs w:val="36"/>
                <w:lang w:val="en-US" w:eastAsia="zh-CN"/>
              </w:rPr>
            </w:pPr>
          </w:p>
        </w:tc>
        <w:tc>
          <w:tcPr>
            <w:tcW w:w="992"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毕业</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时间</w:t>
            </w:r>
          </w:p>
        </w:tc>
        <w:tc>
          <w:tcPr>
            <w:tcW w:w="2717" w:type="dxa"/>
            <w:noWrap w:val="0"/>
            <w:vAlign w:val="center"/>
          </w:tcPr>
          <w:p>
            <w:pPr>
              <w:widowControl w:val="0"/>
              <w:numPr>
                <w:ilvl w:val="0"/>
                <w:numId w:val="0"/>
              </w:numPr>
              <w:jc w:val="both"/>
              <w:rPr>
                <w:rFonts w:hint="default"/>
                <w:b w:val="0"/>
                <w:bCs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jc w:val="center"/>
        </w:trPr>
        <w:tc>
          <w:tcPr>
            <w:tcW w:w="9204" w:type="dxa"/>
            <w:gridSpan w:val="7"/>
            <w:noWrap w:val="0"/>
            <w:vAlign w:val="top"/>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申请减免培训年限理由：</w:t>
            </w: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 xml:space="preserve">（需说明的材料附后）                           </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申请人签字：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jc w:val="center"/>
        </w:trPr>
        <w:tc>
          <w:tcPr>
            <w:tcW w:w="1086"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培 训</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基 地</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审 批</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意 见</w:t>
            </w:r>
          </w:p>
        </w:tc>
        <w:tc>
          <w:tcPr>
            <w:tcW w:w="3179" w:type="dxa"/>
            <w:gridSpan w:val="2"/>
            <w:noWrap w:val="0"/>
            <w:vAlign w:val="center"/>
          </w:tcPr>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审批人：</w:t>
            </w: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（公章）</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年    月    日</w:t>
            </w:r>
          </w:p>
        </w:tc>
        <w:tc>
          <w:tcPr>
            <w:tcW w:w="1230" w:type="dxa"/>
            <w:gridSpan w:val="2"/>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省医师</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协会/省</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中医药</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学  会</w:t>
            </w:r>
          </w:p>
        </w:tc>
        <w:tc>
          <w:tcPr>
            <w:tcW w:w="3709" w:type="dxa"/>
            <w:gridSpan w:val="2"/>
            <w:noWrap w:val="0"/>
            <w:vAlign w:val="top"/>
          </w:tcPr>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审批人：</w:t>
            </w: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（公章）</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年    月    日</w:t>
            </w:r>
          </w:p>
          <w:p>
            <w:pPr>
              <w:widowControl w:val="0"/>
              <w:numPr>
                <w:ilvl w:val="0"/>
                <w:numId w:val="0"/>
              </w:numPr>
              <w:jc w:val="both"/>
              <w:rPr>
                <w:rFonts w:hint="default"/>
                <w:b w:val="0"/>
                <w:bCs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8" w:hRule="atLeast"/>
          <w:jc w:val="center"/>
        </w:trPr>
        <w:tc>
          <w:tcPr>
            <w:tcW w:w="1086" w:type="dxa"/>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省毕教办备案意见</w:t>
            </w:r>
          </w:p>
        </w:tc>
        <w:tc>
          <w:tcPr>
            <w:tcW w:w="8118" w:type="dxa"/>
            <w:gridSpan w:val="6"/>
            <w:noWrap w:val="0"/>
            <w:vAlign w:val="center"/>
          </w:tcPr>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（不需审批，检查无误后标注“同意备案”）</w:t>
            </w: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 xml:space="preserve">                            （公章）</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年    月    日</w:t>
            </w:r>
          </w:p>
        </w:tc>
      </w:tr>
    </w:tbl>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注：1.按照国家相关要求，原则上已具有医学类相应专业学位研究生学历的人员，按照“缺什么补什么”的原则在培训基地接受培训,其余情况不得减免培训年限。符合减免年限要求的，以1年为单位进行减免。</w:t>
      </w:r>
    </w:p>
    <w:p>
      <w:pPr>
        <w:widowControl w:val="0"/>
        <w:numPr>
          <w:ilvl w:val="0"/>
          <w:numId w:val="0"/>
        </w:numPr>
        <w:jc w:val="both"/>
        <w:rPr>
          <w:rFonts w:hint="default"/>
          <w:b w:val="0"/>
          <w:bCs w:val="0"/>
          <w:sz w:val="28"/>
          <w:szCs w:val="36"/>
          <w:lang w:val="en-US" w:eastAsia="zh-CN"/>
        </w:rPr>
      </w:pPr>
      <w:r>
        <w:rPr>
          <w:rFonts w:hint="default"/>
          <w:b w:val="0"/>
          <w:bCs w:val="0"/>
          <w:sz w:val="28"/>
          <w:szCs w:val="36"/>
          <w:lang w:val="en-US" w:eastAsia="zh-CN"/>
        </w:rPr>
        <w:t>本表一式二份，报省毕教办备案后，返回一份由培训基地留存备查。</w:t>
      </w:r>
    </w:p>
    <w:p>
      <w:pPr>
        <w:widowControl w:val="0"/>
        <w:numPr>
          <w:ilvl w:val="0"/>
          <w:numId w:val="0"/>
        </w:numPr>
        <w:jc w:val="both"/>
        <w:rPr>
          <w:rFonts w:hint="default"/>
          <w:b w:val="0"/>
          <w:bCs w:val="0"/>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05ABF0"/>
    <w:multiLevelType w:val="singleLevel"/>
    <w:tmpl w:val="EC05ABF0"/>
    <w:lvl w:ilvl="0" w:tentative="0">
      <w:start w:val="1"/>
      <w:numFmt w:val="decimal"/>
      <w:suff w:val="nothing"/>
      <w:lvlText w:val="（%1）"/>
      <w:lvlJc w:val="left"/>
    </w:lvl>
  </w:abstractNum>
  <w:abstractNum w:abstractNumId="1">
    <w:nsid w:val="2F91B19D"/>
    <w:multiLevelType w:val="singleLevel"/>
    <w:tmpl w:val="2F91B19D"/>
    <w:lvl w:ilvl="0" w:tentative="0">
      <w:start w:val="1"/>
      <w:numFmt w:val="chineseCounting"/>
      <w:suff w:val="nothing"/>
      <w:lvlText w:val="%1、"/>
      <w:lvlJc w:val="left"/>
      <w:rPr>
        <w:rFonts w:hint="eastAsia"/>
      </w:rPr>
    </w:lvl>
  </w:abstractNum>
  <w:abstractNum w:abstractNumId="2">
    <w:nsid w:val="74D2E5FD"/>
    <w:multiLevelType w:val="singleLevel"/>
    <w:tmpl w:val="74D2E5F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53EC2"/>
    <w:rsid w:val="00C63BB3"/>
    <w:rsid w:val="01134A74"/>
    <w:rsid w:val="0120006C"/>
    <w:rsid w:val="021D1518"/>
    <w:rsid w:val="039E514E"/>
    <w:rsid w:val="058155B9"/>
    <w:rsid w:val="09FE65F2"/>
    <w:rsid w:val="0F174D20"/>
    <w:rsid w:val="118E58B1"/>
    <w:rsid w:val="12324EF6"/>
    <w:rsid w:val="16456B1A"/>
    <w:rsid w:val="17611C37"/>
    <w:rsid w:val="18657E75"/>
    <w:rsid w:val="1D325E8A"/>
    <w:rsid w:val="1E3C3F86"/>
    <w:rsid w:val="21D5721B"/>
    <w:rsid w:val="23DE7966"/>
    <w:rsid w:val="23E618DF"/>
    <w:rsid w:val="242C52F7"/>
    <w:rsid w:val="24F362D7"/>
    <w:rsid w:val="275D6E1F"/>
    <w:rsid w:val="2B5F268A"/>
    <w:rsid w:val="2B6D56A5"/>
    <w:rsid w:val="2DC15C64"/>
    <w:rsid w:val="34556FD0"/>
    <w:rsid w:val="35FB17B7"/>
    <w:rsid w:val="36FC6E13"/>
    <w:rsid w:val="41005431"/>
    <w:rsid w:val="420D0759"/>
    <w:rsid w:val="42FC2F95"/>
    <w:rsid w:val="44DA2E4C"/>
    <w:rsid w:val="47CE089B"/>
    <w:rsid w:val="4AA5300F"/>
    <w:rsid w:val="4BFB043B"/>
    <w:rsid w:val="4C236EEA"/>
    <w:rsid w:val="55A029FE"/>
    <w:rsid w:val="561032C3"/>
    <w:rsid w:val="5A37117B"/>
    <w:rsid w:val="5CD117E3"/>
    <w:rsid w:val="5D3031DE"/>
    <w:rsid w:val="5E835BA5"/>
    <w:rsid w:val="698F736C"/>
    <w:rsid w:val="6AFE22AA"/>
    <w:rsid w:val="6BAE4DD7"/>
    <w:rsid w:val="6D21684E"/>
    <w:rsid w:val="6DFD590F"/>
    <w:rsid w:val="6EA52F6B"/>
    <w:rsid w:val="6FD473A8"/>
    <w:rsid w:val="70A0614B"/>
    <w:rsid w:val="70D462D3"/>
    <w:rsid w:val="724A6F2B"/>
    <w:rsid w:val="7480518C"/>
    <w:rsid w:val="79562710"/>
    <w:rsid w:val="796212E4"/>
    <w:rsid w:val="7D4B38AB"/>
    <w:rsid w:val="7D9B5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2023-05-25T01:43:00Z</dcterms:created>
  <dc:creator>Lenovo</dc:creator>
  <cp:lastModifiedBy>Lenovo</cp:lastModifiedBy>
  <dcterms:modified xsi:type="dcterms:W3CDTF">2023-06-05T03:49:45Z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