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云南省肿瘤医院 昆明医科大学第三附属医院</w:t>
      </w:r>
    </w:p>
    <w:p>
      <w:pPr>
        <w:jc w:val="center"/>
        <w:rPr>
          <w:rFonts w:hint="eastAsia" w:ascii="方正小标宋_GBK" w:hAnsi="方正小标宋_GBK" w:eastAsia="方正小标宋_GBK" w:cs="方正小标宋_GBK"/>
          <w:sz w:val="36"/>
          <w:szCs w:val="36"/>
          <w:lang w:val="en-US" w:eastAsia="zh-CN"/>
        </w:rPr>
      </w:pPr>
      <w:r>
        <w:rPr>
          <w:rFonts w:hint="eastAsia" w:ascii="方正小标宋_GBK" w:hAnsi="方正小标宋_GBK" w:eastAsia="方正小标宋_GBK" w:cs="方正小标宋_GBK"/>
          <w:sz w:val="36"/>
          <w:szCs w:val="36"/>
          <w:lang w:val="en-US" w:eastAsia="zh-CN"/>
        </w:rPr>
        <w:t>2023年住院医师规范化培训招收简章</w:t>
      </w:r>
    </w:p>
    <w:p>
      <w:pPr>
        <w:jc w:val="both"/>
        <w:rPr>
          <w:rFonts w:hint="eastAsia" w:ascii="方正仿宋_GBK" w:hAnsi="方正仿宋_GBK" w:eastAsia="方正仿宋_GBK" w:cs="方正仿宋_GBK"/>
          <w:sz w:val="32"/>
          <w:szCs w:val="32"/>
          <w:lang w:val="en-US" w:eastAsia="zh-CN"/>
        </w:rPr>
      </w:pPr>
    </w:p>
    <w:p>
      <w:pPr>
        <w:numPr>
          <w:ilvl w:val="0"/>
          <w:numId w:val="1"/>
        </w:num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医院简介</w:t>
      </w:r>
    </w:p>
    <w:p>
      <w:pPr>
        <w:pStyle w:val="6"/>
        <w:spacing w:line="240" w:lineRule="auto"/>
        <w:ind w:left="0" w:leftChars="0" w:firstLine="840" w:firstLineChars="3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云南省肿瘤医院</w:t>
      </w:r>
      <w:r>
        <w:rPr>
          <w:rFonts w:hint="eastAsia" w:ascii="仿宋_GB2312" w:hAnsi="仿宋_GB2312" w:eastAsia="仿宋_GB2312" w:cs="仿宋_GB2312"/>
          <w:sz w:val="28"/>
          <w:szCs w:val="28"/>
          <w:lang w:val="en-US" w:eastAsia="zh-CN"/>
        </w:rPr>
        <w:t xml:space="preserve"> 昆明医科大学第三附属医院 云南省癌症中心</w:t>
      </w:r>
      <w:r>
        <w:rPr>
          <w:rFonts w:hint="eastAsia" w:ascii="仿宋_GB2312" w:hAnsi="仿宋_GB2312" w:eastAsia="仿宋_GB2312" w:cs="仿宋_GB2312"/>
          <w:sz w:val="28"/>
          <w:szCs w:val="28"/>
          <w:lang w:eastAsia="zh-CN"/>
        </w:rPr>
        <w:t>是云南省集医疗、教学、科研、预防于一体的三级甲等肿瘤专科医院，承担着全省肿瘤防治研究、人才培养及肿瘤学术交流任务，</w:t>
      </w:r>
      <w:r>
        <w:rPr>
          <w:rFonts w:hint="eastAsia" w:ascii="仿宋_GB2312" w:hAnsi="仿宋_GB2312" w:eastAsia="仿宋_GB2312" w:cs="仿宋_GB2312"/>
          <w:sz w:val="28"/>
          <w:szCs w:val="28"/>
        </w:rPr>
        <w:t>是国家肿瘤区域医疗中心、云南省癌症中心、云南省肿瘤诊疗质量控制中心、云南省肿瘤临床医学中心、云南省恶性肿瘤临床医学研究中心、云南省肿瘤分子基因中心、云南省临床药学中心、云南省核医学专业医疗质量控制中心、分子肿瘤学国家重点实验室云南省肿瘤医院转化医学中心、云南省肿瘤精准诊疗工程研究中心、云南省肺结节-肺癌一体化诊治中心及云南区域性高发肺癌研究协同创新中心，</w:t>
      </w:r>
      <w:r>
        <w:rPr>
          <w:rFonts w:hint="eastAsia" w:ascii="仿宋_GB2312" w:hAnsi="仿宋_GB2312" w:eastAsia="仿宋_GB2312" w:cs="仿宋_GB2312"/>
          <w:sz w:val="28"/>
          <w:szCs w:val="28"/>
          <w:lang w:eastAsia="zh-CN"/>
        </w:rPr>
        <w:t>是国家卫生健康委肺癌、食管癌、大肠癌等肿瘤早诊早治基地，云南省肿瘤继续教育基地，云南省肺癌国际合作示范基地，国家药物临床试验（肿瘤学）机构，具备干细胞临床研究备案机构资质。有4个重点实验室，</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个省级创新团队，1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个研究中心，9个住院医师规范化培训专业基地，2个院士工作站、8个专家工作站，是昆明医科大学第三附属医院博士后科研工作站。</w:t>
      </w:r>
      <w:r>
        <w:rPr>
          <w:rFonts w:hint="eastAsia" w:ascii="仿宋_GB2312" w:hAnsi="方正仿宋简体" w:eastAsia="仿宋_GB2312" w:cs="方正仿宋简体"/>
          <w:sz w:val="28"/>
          <w:szCs w:val="28"/>
        </w:rPr>
        <w:t>作为昆明医科大学的直属附属医院，</w:t>
      </w:r>
      <w:r>
        <w:rPr>
          <w:rFonts w:hint="eastAsia" w:ascii="仿宋_GB2312" w:hAnsi="仿宋_GB2312" w:eastAsia="仿宋_GB2312" w:cs="仿宋_GB2312"/>
          <w:sz w:val="28"/>
          <w:szCs w:val="28"/>
          <w:lang w:eastAsia="zh-CN"/>
        </w:rPr>
        <w:t>有10个教研室，博士生导师和硕士生导师19</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人，形成了本、硕、博、继续医学教育、留学生培养的人才培养体系。</w:t>
      </w:r>
    </w:p>
    <w:p>
      <w:pPr>
        <w:spacing w:line="2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医院设有29个临床科室，14个医技科室，开放床位1639张，职工人数2481人。</w:t>
      </w:r>
      <w:r>
        <w:rPr>
          <w:rFonts w:hint="eastAsia" w:ascii="仿宋_GB2312" w:hAnsi="仿宋_GB2312" w:eastAsia="仿宋_GB2312" w:cs="仿宋_GB2312"/>
          <w:sz w:val="28"/>
          <w:szCs w:val="28"/>
          <w:lang w:eastAsia="zh-CN"/>
        </w:rPr>
        <w:t>医院已建立起以国家临床重点专科（肿瘤科、胸外科）为依托，胸外科（胸部肿瘤）、耳鼻喉头颈外科（头颈肿瘤）、病理科、乳腺外科、妇科（妇科肿瘤）、肿瘤化疗专科、肿瘤放射治疗科、结直肠肿瘤专科、神经肿瘤外科、骨与软组织肿瘤科、医学影像科、中西医结合科等12个省级肿瘤临床重点专科群为骨干，诊断技术先进、治疗手段完善的肿瘤预防、肿瘤筛查、肿瘤疾病诊疗专科体系，优质护理示范病房达到100%。</w:t>
      </w:r>
      <w:r>
        <w:rPr>
          <w:rFonts w:hint="eastAsia" w:ascii="仿宋_GB2312" w:hAnsi="仿宋_GB2312" w:eastAsia="仿宋_GB2312" w:cs="仿宋_GB2312"/>
          <w:sz w:val="28"/>
          <w:szCs w:val="28"/>
        </w:rPr>
        <w:t>2022年，医院各项业务指标保持了高速增长，总诊疗人次121.8万，较2021年增长43.70%，门诊人次116.5万，较2021年增长46.91 %，由于12月份受新冠肺炎疫情影响，出院人次10.3万，较2021年略有减少。手术台次30487台次，较2021年增长1.5%，三四级手术为20852台次，较2021年增长9.5%，平均住院日从6.9天缩短到6.7天。2022年获省部级科学技术进步奖2项，</w:t>
      </w:r>
      <w:r>
        <w:rPr>
          <w:rFonts w:hint="eastAsia" w:ascii="仿宋_GB2312" w:hAnsi="仿宋_GB2312" w:eastAsia="仿宋_GB2312" w:cs="仿宋_GB2312"/>
          <w:sz w:val="28"/>
          <w:szCs w:val="28"/>
          <w:lang w:val="en-US" w:eastAsia="zh-CN"/>
        </w:rPr>
        <w:t>其中一等奖1项、二等奖1项，</w:t>
      </w:r>
      <w:r>
        <w:rPr>
          <w:rFonts w:hint="eastAsia" w:ascii="仿宋_GB2312" w:hAnsi="仿宋_GB2312" w:eastAsia="仿宋_GB2312" w:cs="仿宋_GB2312"/>
          <w:sz w:val="28"/>
          <w:szCs w:val="28"/>
        </w:rPr>
        <w:t>卫生科技成果奖2项，SCI收录文章62篇，核心期刊发表论文20篇，立项科研课题120项，国自然基金9项，获专利授权17项。近五年获省部级科技进步奖特等奖3项、一等奖及其他成果奖共71项。</w:t>
      </w:r>
    </w:p>
    <w:p>
      <w:pPr>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收治患者80%以上来自昆明以外地区和国家，大量收治了贵州、四川、广西、西藏等周边省份和自治区患者；越南、缅甸、老挝、尼泊尔、柬埔寨、斯里兰卡、孟加拉国等国家患者也前来就诊。</w:t>
      </w:r>
    </w:p>
    <w:p>
      <w:pPr>
        <w:ind w:firstLine="560" w:firstLineChars="200"/>
        <w:rPr>
          <w:rFonts w:hint="default" w:ascii="仿宋_GB2312" w:hAnsi="方正仿宋简体" w:eastAsia="仿宋_GB2312" w:cs="方正仿宋简体"/>
          <w:color w:val="FF0000"/>
          <w:sz w:val="28"/>
          <w:szCs w:val="28"/>
        </w:rPr>
      </w:pPr>
      <w:r>
        <w:rPr>
          <w:rFonts w:hint="eastAsia" w:ascii="仿宋_GB2312" w:hAnsi="仿宋_GB2312" w:eastAsia="仿宋_GB2312" w:cs="仿宋_GB2312"/>
          <w:sz w:val="28"/>
          <w:szCs w:val="28"/>
          <w:lang w:val="en-US" w:eastAsia="zh-CN"/>
        </w:rPr>
        <w:t>医院于</w:t>
      </w:r>
      <w:r>
        <w:rPr>
          <w:rFonts w:hint="eastAsia" w:ascii="仿宋_GB2312" w:hAnsi="仿宋_GB2312" w:eastAsia="仿宋_GB2312" w:cs="仿宋_GB2312"/>
          <w:sz w:val="28"/>
          <w:szCs w:val="28"/>
          <w:lang w:eastAsia="zh-CN"/>
        </w:rPr>
        <w:t>2018年挂牌成立云南省唯一一家以实体医院为基础的互联网医院——云南省肿瘤医院互联网医院，为百姓解决看病难问题。</w:t>
      </w:r>
      <w:r>
        <w:rPr>
          <w:rFonts w:hint="eastAsia" w:ascii="仿宋_GB2312" w:hAnsi="仿宋_GB2312" w:eastAsia="仿宋_GB2312" w:cs="仿宋_GB2312"/>
          <w:sz w:val="28"/>
          <w:szCs w:val="28"/>
          <w:lang w:val="en-US" w:eastAsia="zh-CN"/>
        </w:rPr>
        <w:t>医院</w:t>
      </w:r>
      <w:r>
        <w:rPr>
          <w:rFonts w:hint="eastAsia" w:ascii="仿宋_GB2312" w:hAnsi="仿宋_GB2312" w:eastAsia="仿宋_GB2312" w:cs="仿宋_GB2312"/>
          <w:sz w:val="28"/>
          <w:szCs w:val="28"/>
          <w:lang w:eastAsia="zh-CN"/>
        </w:rPr>
        <w:t>是全国肿瘤专科联盟单位，并牵头组建了云南省肿瘤专科联盟，成员单位达</w:t>
      </w:r>
      <w:r>
        <w:rPr>
          <w:rFonts w:hint="eastAsia" w:ascii="仿宋_GB2312" w:hAnsi="仿宋_GB2312" w:eastAsia="仿宋_GB2312" w:cs="仿宋_GB2312"/>
          <w:sz w:val="28"/>
          <w:szCs w:val="28"/>
          <w:lang w:val="en-US" w:eastAsia="zh-CN"/>
        </w:rPr>
        <w:t>46</w:t>
      </w:r>
      <w:r>
        <w:rPr>
          <w:rFonts w:hint="eastAsia" w:ascii="仿宋_GB2312" w:hAnsi="仿宋_GB2312" w:eastAsia="仿宋_GB2312" w:cs="仿宋_GB2312"/>
          <w:sz w:val="28"/>
          <w:szCs w:val="28"/>
          <w:lang w:eastAsia="zh-CN"/>
        </w:rPr>
        <w:t>家，与多所三级医院和县级医院建立了远程医疗服务协作关系</w:t>
      </w:r>
      <w:r>
        <w:rPr>
          <w:rFonts w:hint="default" w:ascii="仿宋_GB2312" w:hAnsi="仿宋_GB2312" w:eastAsia="仿宋_GB2312" w:cs="仿宋_GB2312"/>
          <w:sz w:val="28"/>
          <w:szCs w:val="28"/>
          <w:lang w:eastAsia="zh-CN"/>
        </w:rPr>
        <w:t>。</w:t>
      </w:r>
    </w:p>
    <w:p>
      <w:pPr>
        <w:ind w:firstLine="560" w:firstLineChars="200"/>
        <w:rPr>
          <w:rFonts w:hint="eastAsia" w:ascii="方正黑体_GBK" w:hAnsi="方正黑体_GBK" w:eastAsia="方正黑体_GBK" w:cs="方正黑体_GBK"/>
          <w:sz w:val="28"/>
          <w:szCs w:val="28"/>
          <w:lang w:val="en-US" w:eastAsia="zh-CN"/>
        </w:rPr>
      </w:pPr>
      <w:r>
        <w:rPr>
          <w:rFonts w:hint="eastAsia" w:ascii="仿宋_GB2312" w:hAnsi="方正仿宋简体" w:eastAsia="仿宋_GB2312" w:cs="方正仿宋简体"/>
          <w:color w:val="000000"/>
          <w:sz w:val="28"/>
          <w:szCs w:val="28"/>
        </w:rPr>
        <w:t>医院本着“以病人为中心，全心全意为肿瘤患者服务”的宗旨，遵循“仁于心、勤于业、精于术”的院训，努力建设服务优质、特色鲜明的肿瘤专科医院，先后获全国百姓放心示范医院、全国百姓放心百佳示范医院、全国人文爱心医院等荣誉。</w:t>
      </w:r>
      <w:r>
        <w:rPr>
          <w:rFonts w:hint="eastAsia" w:ascii="仿宋_GB2312" w:hAnsi="仿宋_GB2312" w:eastAsia="仿宋_GB2312" w:cs="仿宋_GB2312"/>
          <w:sz w:val="28"/>
          <w:szCs w:val="28"/>
        </w:rPr>
        <w:t>在202</w:t>
      </w:r>
      <w:r>
        <w:rPr>
          <w:rFonts w:hint="eastAsia" w:ascii="仿宋_GB2312" w:hAnsi="仿宋_GB2312" w:eastAsia="仿宋_GB2312" w:cs="仿宋_GB2312"/>
          <w:sz w:val="28"/>
          <w:szCs w:val="28"/>
          <w:lang w:val="en-US" w:eastAsia="zh-CN"/>
        </w:rPr>
        <w:t>2年发布的</w:t>
      </w:r>
      <w:r>
        <w:rPr>
          <w:rFonts w:hint="eastAsia" w:ascii="仿宋_GB2312" w:hAnsi="仿宋_GB2312" w:eastAsia="仿宋_GB2312" w:cs="仿宋_GB2312"/>
          <w:sz w:val="28"/>
          <w:szCs w:val="28"/>
        </w:rPr>
        <w:t>中国医院影响力排行榜中位列肿瘤榜全国第1</w:t>
      </w:r>
      <w:r>
        <w:rPr>
          <w:rFonts w:hint="eastAsia" w:ascii="仿宋_GB2312" w:hAnsi="仿宋_GB2312" w:eastAsia="仿宋_GB2312" w:cs="仿宋_GB2312"/>
          <w:sz w:val="28"/>
          <w:szCs w:val="28"/>
          <w:lang w:val="en-US" w:eastAsia="zh-CN"/>
        </w:rPr>
        <w:t>0</w:t>
      </w:r>
      <w:r>
        <w:rPr>
          <w:rFonts w:hint="eastAsia" w:ascii="仿宋_GB2312" w:hAnsi="仿宋_GB2312" w:eastAsia="仿宋_GB2312" w:cs="仿宋_GB2312"/>
          <w:sz w:val="28"/>
          <w:szCs w:val="28"/>
        </w:rPr>
        <w:t>名，西南地区第2名。</w:t>
      </w:r>
    </w:p>
    <w:p>
      <w:pPr>
        <w:numPr>
          <w:ilvl w:val="0"/>
          <w:numId w:val="1"/>
        </w:numPr>
        <w:ind w:left="0" w:leftChars="0" w:firstLine="0" w:firstLine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培训基地及专业基地简介</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医院目前设有外科、胸心外科、妇产科、放射肿瘤科、放射科、临床病理科、核医学科、超声医学科、检验医学科9个专业基地，基地类别为国家级，与昆明医科大学第二附属医院协同人才培养。</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各专业基地</w:t>
      </w:r>
      <w:r>
        <w:rPr>
          <w:rFonts w:hint="eastAsia" w:ascii="仿宋_GB2312" w:hAnsi="仿宋_GB2312" w:eastAsia="仿宋_GB2312" w:cs="仿宋_GB2312"/>
          <w:sz w:val="28"/>
          <w:szCs w:val="28"/>
        </w:rPr>
        <w:t>已建立全面完善的住院医师规范化培训体系，实行</w:t>
      </w:r>
      <w:r>
        <w:rPr>
          <w:rFonts w:hint="eastAsia" w:ascii="仿宋_GB2312" w:hAnsi="仿宋_GB2312" w:eastAsia="仿宋_GB2312" w:cs="仿宋_GB2312"/>
          <w:sz w:val="28"/>
          <w:szCs w:val="28"/>
          <w:lang w:eastAsia="zh-Hans"/>
        </w:rPr>
        <w:t>规培学员一对一导师负责制</w:t>
      </w:r>
      <w:r>
        <w:rPr>
          <w:rFonts w:hint="eastAsia" w:ascii="仿宋_GB2312" w:hAnsi="仿宋_GB2312" w:eastAsia="仿宋_GB2312" w:cs="仿宋_GB2312"/>
          <w:sz w:val="28"/>
          <w:szCs w:val="28"/>
        </w:rPr>
        <w:t>，规范开展早间讲课、疑难病例读片、规培讲课、规培教学查房、技能培训及规培答疑解惑等教学活动，对住院医师实行分层递进式培养，依托雄厚的临床诊疗资源，打造住院医师岗位胜任力，同时鼓励积极参与科研训练，增强核心竞争力，对规培学员进行医教研全方位培训。</w:t>
      </w:r>
    </w:p>
    <w:p>
      <w:pPr>
        <w:numPr>
          <w:ilvl w:val="0"/>
          <w:numId w:val="1"/>
        </w:numPr>
        <w:ind w:left="0" w:leftChars="0" w:firstLine="0" w:firstLine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招收计划</w:t>
      </w:r>
    </w:p>
    <w:p>
      <w:pPr>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lang w:val="en-US" w:eastAsia="zh-CN"/>
        </w:rPr>
        <w:t>招生报名采取网上报名和现场确认相结合的方式进行，我院 2023年度住院医师规范化培训招生专业共 9 个，招生总人数25人，实际招生人数可根据报考情况调整，医院紧缺专业有妇产科、临床病理科，我院招生专业及相应专业代码如下：</w:t>
      </w:r>
    </w:p>
    <w:tbl>
      <w:tblPr>
        <w:tblStyle w:val="8"/>
        <w:tblpPr w:leftFromText="180" w:rightFromText="180" w:vertAnchor="text" w:horzAnchor="page" w:tblpX="2797" w:tblpY="73"/>
        <w:tblOverlap w:val="never"/>
        <w:tblW w:w="6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2547"/>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Pr>
          <w:p>
            <w:pPr>
              <w:ind w:firstLine="280" w:firstLineChars="1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序号</w:t>
            </w:r>
          </w:p>
        </w:tc>
        <w:tc>
          <w:tcPr>
            <w:tcW w:w="2547" w:type="dxa"/>
          </w:tcPr>
          <w:p>
            <w:pPr>
              <w:ind w:firstLine="280" w:firstLineChars="1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专业代码</w:t>
            </w:r>
          </w:p>
        </w:tc>
        <w:tc>
          <w:tcPr>
            <w:tcW w:w="2766" w:type="dxa"/>
          </w:tcPr>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Pr>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w:t>
            </w:r>
          </w:p>
        </w:tc>
        <w:tc>
          <w:tcPr>
            <w:tcW w:w="2547" w:type="dxa"/>
          </w:tcPr>
          <w:p>
            <w:pPr>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0900</w:t>
            </w:r>
          </w:p>
        </w:tc>
        <w:tc>
          <w:tcPr>
            <w:tcW w:w="2766" w:type="dxa"/>
          </w:tcPr>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Pr>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p>
        </w:tc>
        <w:tc>
          <w:tcPr>
            <w:tcW w:w="2547" w:type="dxa"/>
          </w:tcPr>
          <w:p>
            <w:pPr>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1100</w:t>
            </w:r>
          </w:p>
        </w:tc>
        <w:tc>
          <w:tcPr>
            <w:tcW w:w="2766" w:type="dxa"/>
          </w:tcPr>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外科（胸心外科）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Pr>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w:t>
            </w:r>
          </w:p>
        </w:tc>
        <w:tc>
          <w:tcPr>
            <w:tcW w:w="2547" w:type="dxa"/>
          </w:tcPr>
          <w:p>
            <w:pPr>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1600</w:t>
            </w:r>
          </w:p>
        </w:tc>
        <w:tc>
          <w:tcPr>
            <w:tcW w:w="2766" w:type="dxa"/>
          </w:tcPr>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妇产科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Pr>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w:t>
            </w:r>
          </w:p>
        </w:tc>
        <w:tc>
          <w:tcPr>
            <w:tcW w:w="2547" w:type="dxa"/>
          </w:tcPr>
          <w:p>
            <w:pPr>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2000</w:t>
            </w:r>
          </w:p>
        </w:tc>
        <w:tc>
          <w:tcPr>
            <w:tcW w:w="2766" w:type="dxa"/>
          </w:tcPr>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临床病理科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Pr>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w:t>
            </w:r>
          </w:p>
        </w:tc>
        <w:tc>
          <w:tcPr>
            <w:tcW w:w="2547" w:type="dxa"/>
          </w:tcPr>
          <w:p>
            <w:pPr>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2100</w:t>
            </w:r>
          </w:p>
        </w:tc>
        <w:tc>
          <w:tcPr>
            <w:tcW w:w="2766" w:type="dxa"/>
          </w:tcPr>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检验医学科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Pr>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w:t>
            </w:r>
          </w:p>
        </w:tc>
        <w:tc>
          <w:tcPr>
            <w:tcW w:w="2547" w:type="dxa"/>
          </w:tcPr>
          <w:p>
            <w:pPr>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2200</w:t>
            </w:r>
          </w:p>
        </w:tc>
        <w:tc>
          <w:tcPr>
            <w:tcW w:w="2766" w:type="dxa"/>
          </w:tcPr>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Pr>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w:t>
            </w:r>
          </w:p>
        </w:tc>
        <w:tc>
          <w:tcPr>
            <w:tcW w:w="2547" w:type="dxa"/>
          </w:tcPr>
          <w:p>
            <w:pPr>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2500</w:t>
            </w:r>
          </w:p>
        </w:tc>
        <w:tc>
          <w:tcPr>
            <w:tcW w:w="2766" w:type="dxa"/>
          </w:tcPr>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放射肿瘤科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Pr>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8</w:t>
            </w:r>
          </w:p>
        </w:tc>
        <w:tc>
          <w:tcPr>
            <w:tcW w:w="2547" w:type="dxa"/>
          </w:tcPr>
          <w:p>
            <w:pPr>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2400</w:t>
            </w:r>
          </w:p>
        </w:tc>
        <w:tc>
          <w:tcPr>
            <w:tcW w:w="2766" w:type="dxa"/>
          </w:tcPr>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核医学科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5" w:type="dxa"/>
          </w:tcPr>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9</w:t>
            </w:r>
          </w:p>
        </w:tc>
        <w:tc>
          <w:tcPr>
            <w:tcW w:w="2547" w:type="dxa"/>
          </w:tcPr>
          <w:p>
            <w:pPr>
              <w:ind w:firstLine="560" w:firstLineChars="200"/>
              <w:jc w:val="both"/>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2300</w:t>
            </w:r>
          </w:p>
        </w:tc>
        <w:tc>
          <w:tcPr>
            <w:tcW w:w="2766" w:type="dxa"/>
          </w:tcPr>
          <w:p>
            <w:pPr>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超声医学科</w:t>
            </w:r>
          </w:p>
        </w:tc>
      </w:tr>
    </w:tbl>
    <w:p>
      <w:pPr>
        <w:numPr>
          <w:ilvl w:val="0"/>
          <w:numId w:val="0"/>
        </w:numPr>
        <w:ind w:leftChars="0"/>
        <w:jc w:val="both"/>
        <w:rPr>
          <w:rFonts w:hint="eastAsia" w:ascii="方正黑体_GBK" w:hAnsi="方正黑体_GBK" w:eastAsia="方正黑体_GBK" w:cs="方正黑体_GBK"/>
          <w:sz w:val="32"/>
          <w:szCs w:val="32"/>
          <w:lang w:val="en-US" w:eastAsia="zh-CN"/>
        </w:rPr>
      </w:pPr>
    </w:p>
    <w:p>
      <w:pPr>
        <w:jc w:val="both"/>
        <w:rPr>
          <w:rFonts w:hint="eastAsia" w:ascii="方正黑体_GBK" w:hAnsi="方正黑体_GBK" w:eastAsia="方正黑体_GBK" w:cs="方正黑体_GBK"/>
          <w:sz w:val="32"/>
          <w:szCs w:val="32"/>
          <w:lang w:val="en-US" w:eastAsia="zh-CN"/>
        </w:rPr>
      </w:pPr>
    </w:p>
    <w:p>
      <w:pPr>
        <w:jc w:val="both"/>
        <w:rPr>
          <w:rFonts w:hint="eastAsia" w:ascii="方正黑体_GBK" w:hAnsi="方正黑体_GBK" w:eastAsia="方正黑体_GBK" w:cs="方正黑体_GBK"/>
          <w:sz w:val="32"/>
          <w:szCs w:val="32"/>
          <w:lang w:val="en-US" w:eastAsia="zh-CN"/>
        </w:rPr>
      </w:pPr>
    </w:p>
    <w:p>
      <w:pPr>
        <w:jc w:val="both"/>
        <w:rPr>
          <w:rFonts w:hint="eastAsia" w:ascii="方正黑体_GBK" w:hAnsi="方正黑体_GBK" w:eastAsia="方正黑体_GBK" w:cs="方正黑体_GBK"/>
          <w:sz w:val="32"/>
          <w:szCs w:val="32"/>
          <w:lang w:val="en-US" w:eastAsia="zh-CN"/>
        </w:rPr>
      </w:pPr>
    </w:p>
    <w:p>
      <w:pPr>
        <w:jc w:val="both"/>
        <w:rPr>
          <w:rFonts w:hint="eastAsia" w:ascii="方正黑体_GBK" w:hAnsi="方正黑体_GBK" w:eastAsia="方正黑体_GBK" w:cs="方正黑体_GBK"/>
          <w:sz w:val="32"/>
          <w:szCs w:val="32"/>
          <w:lang w:val="en-US" w:eastAsia="zh-CN"/>
        </w:rPr>
      </w:pPr>
    </w:p>
    <w:p>
      <w:pPr>
        <w:jc w:val="both"/>
        <w:rPr>
          <w:rFonts w:hint="eastAsia" w:ascii="方正黑体_GBK" w:hAnsi="方正黑体_GBK" w:eastAsia="方正黑体_GBK" w:cs="方正黑体_GBK"/>
          <w:sz w:val="32"/>
          <w:szCs w:val="32"/>
          <w:lang w:val="en-US" w:eastAsia="zh-CN"/>
        </w:rPr>
      </w:pPr>
    </w:p>
    <w:p>
      <w:pPr>
        <w:numPr>
          <w:ilvl w:val="0"/>
          <w:numId w:val="1"/>
        </w:numPr>
        <w:ind w:left="0" w:leftChars="0" w:firstLine="0" w:firstLine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招录安排</w:t>
      </w:r>
    </w:p>
    <w:p>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8"/>
          <w:szCs w:val="28"/>
          <w:lang w:val="en-US" w:eastAsia="zh-CN"/>
        </w:rPr>
        <w:t>招收对象</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临床类别医师资格考试报考条件规定专业范围应、往届本科及以上学历医学毕业生，或已取得《执业医师资格证书》需要接受培训的人员。以应届本科毕业生为重点，向来自县级及以下基层医疗卫生机构委派培训对象倾斜。</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）网络报名</w:t>
      </w:r>
    </w:p>
    <w:p>
      <w:p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1.单位人员、社会人员、委培人员网上报名时间：</w:t>
      </w:r>
      <w:r>
        <w:rPr>
          <w:rFonts w:hint="eastAsia" w:ascii="仿宋_GB2312" w:hAnsi="仿宋_GB2312" w:eastAsia="仿宋_GB2312" w:cs="仿宋_GB2312"/>
          <w:sz w:val="28"/>
          <w:szCs w:val="28"/>
          <w:highlight w:val="none"/>
        </w:rPr>
        <w:t>6月10日10:00至6月30日22:00期间，申请培训人员可登录云南卫生健康人才网(www.ynwsjkrc.cn)进行网上报名</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rPr>
        <w:t>报考我院考生选择培训医院时选择“云南省肿瘤医院”。</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2.专硕研究生专硕研究生报名、审核等事项请关注昆明医科大学通知，其日常管理及待遇执行全日制研究生有关规定。</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三</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现场确认</w:t>
      </w:r>
    </w:p>
    <w:p>
      <w:pPr>
        <w:ind w:firstLine="560" w:firstLineChars="200"/>
        <w:rPr>
          <w:rFonts w:hint="eastAsia" w:ascii="仿宋_GB2312" w:hAnsi="仿宋_GB2312" w:eastAsia="仿宋_GB2312" w:cs="仿宋_GB2312"/>
          <w:sz w:val="28"/>
          <w:szCs w:val="28"/>
          <w:highlight w:val="none"/>
          <w:lang w:val="zh-TW" w:eastAsia="zh-TW"/>
        </w:rPr>
      </w:pPr>
      <w:r>
        <w:rPr>
          <w:rFonts w:hint="eastAsia" w:ascii="仿宋_GB2312" w:hAnsi="仿宋_GB2312" w:eastAsia="仿宋_GB2312" w:cs="仿宋_GB2312"/>
          <w:sz w:val="28"/>
          <w:szCs w:val="28"/>
          <w:highlight w:val="none"/>
          <w:lang w:val="en-US" w:eastAsia="zh-CN"/>
        </w:rPr>
        <w:t>单位人员、社会人员、委培人员于</w:t>
      </w:r>
      <w:r>
        <w:rPr>
          <w:rFonts w:hint="eastAsia" w:ascii="仿宋_GB2312" w:hAnsi="仿宋_GB2312" w:eastAsia="仿宋_GB2312" w:cs="仿宋_GB2312"/>
          <w:sz w:val="28"/>
          <w:szCs w:val="28"/>
          <w:highlight w:val="none"/>
        </w:rPr>
        <w:t>202</w:t>
      </w:r>
      <w:r>
        <w:rPr>
          <w:rFonts w:hint="eastAsia" w:ascii="仿宋_GB2312" w:hAnsi="仿宋_GB2312" w:eastAsia="仿宋_GB2312" w:cs="仿宋_GB2312"/>
          <w:sz w:val="28"/>
          <w:szCs w:val="28"/>
          <w:highlight w:val="none"/>
          <w:lang w:val="en-US" w:eastAsia="zh-CN"/>
        </w:rPr>
        <w:t>3</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7</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日（周三）8:00-</w:t>
      </w:r>
      <w:r>
        <w:rPr>
          <w:rFonts w:hint="eastAsia" w:ascii="仿宋_GB2312" w:hAnsi="仿宋_GB2312" w:eastAsia="仿宋_GB2312" w:cs="仿宋_GB2312"/>
          <w:sz w:val="28"/>
          <w:szCs w:val="28"/>
          <w:highlight w:val="none"/>
          <w:lang w:val="en-US" w:eastAsia="zh-CN"/>
        </w:rPr>
        <w:t>12:00、14:00-</w:t>
      </w:r>
      <w:r>
        <w:rPr>
          <w:rFonts w:hint="eastAsia" w:ascii="仿宋_GB2312" w:hAnsi="仿宋_GB2312" w:eastAsia="仿宋_GB2312" w:cs="仿宋_GB2312"/>
          <w:sz w:val="28"/>
          <w:szCs w:val="28"/>
          <w:highlight w:val="none"/>
        </w:rPr>
        <w:t>17：00携带相关纸质材料及原件，到云南省肿瘤医院门诊楼4楼421办公室进行现场资格审查和确认，未进行现场确认者视为自动放弃</w:t>
      </w:r>
      <w:r>
        <w:rPr>
          <w:rFonts w:hint="eastAsia" w:ascii="仿宋_GB2312" w:hAnsi="仿宋_GB2312" w:eastAsia="仿宋_GB2312" w:cs="仿宋_GB2312"/>
          <w:sz w:val="28"/>
          <w:szCs w:val="28"/>
          <w:highlight w:val="none"/>
          <w:lang w:val="zh-TW" w:eastAsia="zh-TW"/>
        </w:rPr>
        <w:t>。</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递交资料清单：全部材料需审验原件（审验后返还本人），收A4纸复印件，并按照以下顺序整理，在左侧进行装订：</w:t>
      </w:r>
    </w:p>
    <w:p>
      <w:p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（1）《住培报名表》一份（网报成功后打印），完成审批手续后由培训基地留存。</w:t>
      </w:r>
    </w:p>
    <w:p>
      <w:p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（2）身份证、毕业证、学位证等相关证明材料原件及复印件各一份，原件审核后返还本人。</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（3）如已取得执业医师资格证书或执业助理医师资格证书的需携带原件及复印件一份，原件审核后返还本人。</w:t>
      </w:r>
    </w:p>
    <w:p>
      <w:p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单位委培学员:除按上述要求提交相关材料外，还需提交由送培单位出具的委托培养函一份（原件）。</w:t>
      </w:r>
    </w:p>
    <w:p>
      <w:pPr>
        <w:ind w:firstLine="560" w:firstLineChars="200"/>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（四）笔试、面试</w:t>
      </w:r>
    </w:p>
    <w:p>
      <w:pPr>
        <w:ind w:firstLine="560" w:firstLineChars="200"/>
        <w:rPr>
          <w:rFonts w:hint="default"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单位人员、社会人员、委培人员将参加医院统一组织的笔试、面试。</w:t>
      </w:r>
    </w:p>
    <w:p>
      <w:pPr>
        <w:numPr>
          <w:ilvl w:val="0"/>
          <w:numId w:val="2"/>
        </w:num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笔试：</w:t>
      </w:r>
      <w:r>
        <w:rPr>
          <w:rFonts w:hint="eastAsia" w:ascii="仿宋_GB2312" w:hAnsi="仿宋_GB2312" w:eastAsia="仿宋_GB2312" w:cs="仿宋_GB2312"/>
          <w:sz w:val="28"/>
          <w:szCs w:val="28"/>
          <w:highlight w:val="none"/>
          <w:lang w:val="en-US" w:eastAsia="zh-CN"/>
        </w:rPr>
        <w:t>7月6日9:00-11:00，</w:t>
      </w:r>
      <w:r>
        <w:rPr>
          <w:rFonts w:hint="eastAsia" w:ascii="仿宋_GB2312" w:hAnsi="仿宋_GB2312" w:eastAsia="仿宋_GB2312" w:cs="仿宋_GB2312"/>
          <w:sz w:val="28"/>
          <w:szCs w:val="28"/>
          <w:highlight w:val="none"/>
        </w:rPr>
        <w:t>考试内容为临床综合理论（以内外科基础为主，兼顾各专业），占总成绩的</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0%；</w:t>
      </w:r>
    </w:p>
    <w:p>
      <w:pPr>
        <w:numPr>
          <w:ilvl w:val="0"/>
          <w:numId w:val="0"/>
        </w:numPr>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sz w:val="28"/>
          <w:szCs w:val="28"/>
          <w:highlight w:val="none"/>
        </w:rPr>
        <w:t>）综合素质面试：</w:t>
      </w:r>
      <w:r>
        <w:rPr>
          <w:rFonts w:hint="eastAsia" w:ascii="仿宋_GB2312" w:hAnsi="仿宋_GB2312" w:eastAsia="仿宋_GB2312" w:cs="仿宋_GB2312"/>
          <w:sz w:val="28"/>
          <w:szCs w:val="28"/>
          <w:highlight w:val="none"/>
          <w:lang w:val="en-US" w:eastAsia="zh-CN"/>
        </w:rPr>
        <w:t>7月6日14:00-18:00，</w:t>
      </w:r>
      <w:r>
        <w:rPr>
          <w:rFonts w:hint="eastAsia" w:ascii="仿宋_GB2312" w:hAnsi="仿宋_GB2312" w:eastAsia="仿宋_GB2312" w:cs="仿宋_GB2312"/>
          <w:sz w:val="28"/>
          <w:szCs w:val="28"/>
          <w:highlight w:val="none"/>
        </w:rPr>
        <w:t>主要考察临床技能操作及临床思维综合素质，占总成绩的</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0%；具体</w:t>
      </w:r>
      <w:r>
        <w:rPr>
          <w:rFonts w:hint="eastAsia" w:ascii="仿宋_GB2312" w:hAnsi="仿宋_GB2312" w:eastAsia="仿宋_GB2312" w:cs="仿宋_GB2312"/>
          <w:sz w:val="28"/>
          <w:szCs w:val="28"/>
          <w:highlight w:val="none"/>
          <w:lang w:val="en-US" w:eastAsia="zh-CN"/>
        </w:rPr>
        <w:t>面试地点</w:t>
      </w:r>
      <w:r>
        <w:rPr>
          <w:rFonts w:hint="eastAsia" w:ascii="仿宋_GB2312" w:hAnsi="仿宋_GB2312" w:eastAsia="仿宋_GB2312" w:cs="仿宋_GB2312"/>
          <w:sz w:val="28"/>
          <w:szCs w:val="28"/>
          <w:highlight w:val="none"/>
        </w:rPr>
        <w:t>请关注QQ群通知。</w:t>
      </w:r>
    </w:p>
    <w:p>
      <w:p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（五）录取程序</w:t>
      </w:r>
    </w:p>
    <w:p>
      <w:p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（1）录取：根据考生笔试和综合素质面试成绩，择优录取。</w:t>
      </w:r>
    </w:p>
    <w:p>
      <w:pPr>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（2）体检：被录取学员于7月7</w:t>
      </w:r>
      <w:bookmarkStart w:id="0" w:name="_GoBack"/>
      <w:bookmarkEnd w:id="0"/>
      <w:r>
        <w:rPr>
          <w:rFonts w:hint="eastAsia" w:ascii="仿宋_GB2312" w:hAnsi="仿宋_GB2312" w:eastAsia="仿宋_GB2312" w:cs="仿宋_GB2312"/>
          <w:sz w:val="28"/>
          <w:szCs w:val="28"/>
          <w:highlight w:val="none"/>
          <w:lang w:val="en-US" w:eastAsia="zh-CN"/>
        </w:rPr>
        <w:t>日8:00进行入职体检，体检合格后公布拟录取名单。</w:t>
      </w:r>
    </w:p>
    <w:p>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五、培训管理和质量保障措施</w:t>
      </w:r>
    </w:p>
    <w:p>
      <w:pPr>
        <w:ind w:firstLine="560" w:firstLineChars="200"/>
        <w:rPr>
          <w:rFonts w:hint="eastAsia" w:ascii="仿宋" w:hAnsi="仿宋" w:eastAsia="仿宋" w:cs="仿宋"/>
          <w:color w:val="auto"/>
          <w:sz w:val="28"/>
          <w:szCs w:val="32"/>
          <w:lang w:val="en-US" w:eastAsia="zh-CN"/>
        </w:rPr>
      </w:pPr>
      <w:r>
        <w:rPr>
          <w:rFonts w:hint="eastAsia" w:ascii="仿宋_GB2312" w:hAnsi="仿宋_GB2312" w:eastAsia="仿宋_GB2312" w:cs="仿宋_GB2312"/>
          <w:sz w:val="28"/>
          <w:szCs w:val="28"/>
        </w:rPr>
        <w:t>我院自</w:t>
      </w:r>
      <w:r>
        <w:rPr>
          <w:rFonts w:hint="eastAsia" w:ascii="仿宋_GB2312" w:hAnsi="仿宋_GB2312" w:eastAsia="仿宋_GB2312" w:cs="仿宋_GB2312"/>
          <w:sz w:val="28"/>
          <w:szCs w:val="28"/>
          <w:lang w:val="en-US" w:eastAsia="zh-CN"/>
        </w:rPr>
        <w:t>2014年</w:t>
      </w:r>
      <w:r>
        <w:rPr>
          <w:rFonts w:hint="eastAsia" w:ascii="仿宋_GB2312" w:hAnsi="仿宋_GB2312" w:eastAsia="仿宋_GB2312" w:cs="仿宋_GB2312"/>
          <w:sz w:val="28"/>
          <w:szCs w:val="28"/>
        </w:rPr>
        <w:t>开展住院医师规范化培训工作以来，积极完善住院医师规范化培训制度、成立领导小组，加强住培信息化建设，简化管理过程提高效率，借鉴研究生培养模式实行一对一责任导师制，同质化培养住培学员。根据学员实际情况，组织理论、辅助检查结果判读、实践技能等培训，同时开展住培线上教学，拓宽学员学习渠道；组织学员进行阶段性线上模拟考核，检测学员阶段性学习效果，便于及时查缺补漏。完善的组织管理、教学体系为住培保驾护航。</w:t>
      </w:r>
      <w:r>
        <w:rPr>
          <w:rFonts w:hint="eastAsia" w:ascii="仿宋" w:hAnsi="仿宋" w:eastAsia="仿宋" w:cs="仿宋"/>
          <w:color w:val="auto"/>
          <w:sz w:val="28"/>
          <w:szCs w:val="32"/>
          <w:lang w:val="en-US" w:eastAsia="zh-CN"/>
        </w:rPr>
        <w:t>2014年至2019年共招收且培养毕业的规培学员157人，多次在临床技能竞赛中获奖。师资力量雄厚，具有临床工作经验、教学能力及丰富的住院医院规范化培训经验的带教老师。</w:t>
      </w:r>
    </w:p>
    <w:p>
      <w:pPr>
        <w:ind w:firstLine="560" w:firstLineChars="200"/>
        <w:rPr>
          <w:rFonts w:hint="eastAsia" w:ascii="仿宋" w:hAnsi="仿宋" w:eastAsia="仿宋" w:cs="仿宋"/>
          <w:color w:val="auto"/>
          <w:sz w:val="28"/>
          <w:szCs w:val="32"/>
          <w:lang w:val="en-US" w:eastAsia="zh-CN"/>
        </w:rPr>
      </w:pPr>
      <w:r>
        <w:rPr>
          <w:rFonts w:hint="eastAsia" w:ascii="仿宋" w:hAnsi="仿宋" w:eastAsia="仿宋" w:cs="仿宋"/>
          <w:color w:val="auto"/>
          <w:sz w:val="28"/>
          <w:szCs w:val="32"/>
          <w:lang w:val="en-US" w:eastAsia="zh-CN"/>
        </w:rPr>
        <w:t>管床、操作等教学指标按照《住院医师规范化培训内容与标准(2022年版)》要求进行。按照《住院医师规范化培训内容与标准 (2022年版)》总则的要求,以六大核心胜任力为导向，培训能独立、规范承担本专业常见病多发病诊疗工作的医师，切实保障住院医师规范化培训质量。</w:t>
      </w:r>
    </w:p>
    <w:p>
      <w:pPr>
        <w:numPr>
          <w:ilvl w:val="0"/>
          <w:numId w:val="0"/>
        </w:numPr>
        <w:ind w:left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六、培训期间薪酬待遇</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自主培训学员与我院根据培训年限签订劳务派遣合同和培训协议，培训结束后自主择业。外单位委培学员与送培单位、我院签订三方委托培训协议，培训期间原人事（劳动）、工资关系不变，培训结业后回委培单位工作。 </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（二）培训学员</w:t>
      </w:r>
      <w:r>
        <w:rPr>
          <w:rFonts w:hint="eastAsia" w:ascii="仿宋_GB2312" w:hAnsi="仿宋_GB2312" w:eastAsia="仿宋_GB2312" w:cs="仿宋_GB2312"/>
          <w:sz w:val="28"/>
          <w:szCs w:val="28"/>
          <w:lang w:val="en-US" w:eastAsia="zh-CN"/>
        </w:rPr>
        <w:t>基本</w:t>
      </w:r>
      <w:r>
        <w:rPr>
          <w:rFonts w:hint="eastAsia" w:ascii="仿宋_GB2312" w:hAnsi="仿宋_GB2312" w:eastAsia="仿宋_GB2312" w:cs="仿宋_GB2312"/>
          <w:sz w:val="28"/>
          <w:szCs w:val="28"/>
        </w:rPr>
        <w:t>薪酬待遇</w:t>
      </w:r>
    </w:p>
    <w:tbl>
      <w:tblPr>
        <w:tblStyle w:val="8"/>
        <w:tblW w:w="9057" w:type="dxa"/>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0" w:type="dxa"/>
          <w:bottom w:w="0" w:type="dxa"/>
          <w:right w:w="0" w:type="dxa"/>
        </w:tblCellMar>
      </w:tblPr>
      <w:tblGrid>
        <w:gridCol w:w="646"/>
        <w:gridCol w:w="1041"/>
        <w:gridCol w:w="1491"/>
        <w:gridCol w:w="1575"/>
        <w:gridCol w:w="1395"/>
        <w:gridCol w:w="1380"/>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647" w:hRule="atLeast"/>
          <w:tblCellSpacing w:w="0" w:type="dxa"/>
          <w:jc w:val="center"/>
        </w:trPr>
        <w:tc>
          <w:tcPr>
            <w:tcW w:w="1687" w:type="dxa"/>
            <w:gridSpan w:val="2"/>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人员类型</w:t>
            </w:r>
          </w:p>
        </w:tc>
        <w:tc>
          <w:tcPr>
            <w:tcW w:w="1491" w:type="dxa"/>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中央补助</w:t>
            </w:r>
          </w:p>
        </w:tc>
        <w:tc>
          <w:tcPr>
            <w:tcW w:w="1575" w:type="dxa"/>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省级补助</w:t>
            </w:r>
          </w:p>
        </w:tc>
        <w:tc>
          <w:tcPr>
            <w:tcW w:w="1395" w:type="dxa"/>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医院补助</w:t>
            </w:r>
          </w:p>
        </w:tc>
        <w:tc>
          <w:tcPr>
            <w:tcW w:w="1380" w:type="dxa"/>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科室补助</w:t>
            </w:r>
          </w:p>
        </w:tc>
        <w:tc>
          <w:tcPr>
            <w:tcW w:w="1529" w:type="dxa"/>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122" w:hRule="atLeast"/>
          <w:tblCellSpacing w:w="0" w:type="dxa"/>
          <w:jc w:val="center"/>
        </w:trPr>
        <w:tc>
          <w:tcPr>
            <w:tcW w:w="1687" w:type="dxa"/>
            <w:gridSpan w:val="2"/>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单位人员</w:t>
            </w:r>
          </w:p>
        </w:tc>
        <w:tc>
          <w:tcPr>
            <w:tcW w:w="1491" w:type="dxa"/>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21600元/年（1800元/月）</w:t>
            </w:r>
          </w:p>
        </w:tc>
        <w:tc>
          <w:tcPr>
            <w:tcW w:w="1575" w:type="dxa"/>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9600元/年（800元/月）</w:t>
            </w:r>
          </w:p>
        </w:tc>
        <w:tc>
          <w:tcPr>
            <w:tcW w:w="1395" w:type="dxa"/>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p>
        </w:tc>
        <w:tc>
          <w:tcPr>
            <w:tcW w:w="1380" w:type="dxa"/>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p>
        </w:tc>
        <w:tc>
          <w:tcPr>
            <w:tcW w:w="1529" w:type="dxa"/>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2600元/月+原单位绩效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032" w:hRule="atLeast"/>
          <w:tblCellSpacing w:w="0" w:type="dxa"/>
          <w:jc w:val="center"/>
        </w:trPr>
        <w:tc>
          <w:tcPr>
            <w:tcW w:w="1687" w:type="dxa"/>
            <w:gridSpan w:val="2"/>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委培人员</w:t>
            </w:r>
          </w:p>
        </w:tc>
        <w:tc>
          <w:tcPr>
            <w:tcW w:w="1491" w:type="dxa"/>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21600元/年（1800元/月）</w:t>
            </w:r>
          </w:p>
        </w:tc>
        <w:tc>
          <w:tcPr>
            <w:tcW w:w="1575" w:type="dxa"/>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9600元/年（800元/月）</w:t>
            </w:r>
          </w:p>
        </w:tc>
        <w:tc>
          <w:tcPr>
            <w:tcW w:w="1395" w:type="dxa"/>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p>
        </w:tc>
        <w:tc>
          <w:tcPr>
            <w:tcW w:w="1380" w:type="dxa"/>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p>
        </w:tc>
        <w:tc>
          <w:tcPr>
            <w:tcW w:w="1529" w:type="dxa"/>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2600元/月+原单位绩效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41" w:hRule="atLeast"/>
          <w:tblCellSpacing w:w="0" w:type="dxa"/>
          <w:jc w:val="center"/>
        </w:trPr>
        <w:tc>
          <w:tcPr>
            <w:tcW w:w="646" w:type="dxa"/>
            <w:vMerge w:val="restart"/>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p>
          <w:p>
            <w:pPr>
              <w:pStyle w:val="5"/>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社会人员</w:t>
            </w:r>
          </w:p>
        </w:tc>
        <w:tc>
          <w:tcPr>
            <w:tcW w:w="1041" w:type="dxa"/>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第一年</w:t>
            </w:r>
          </w:p>
        </w:tc>
        <w:tc>
          <w:tcPr>
            <w:tcW w:w="1491" w:type="dxa"/>
            <w:vMerge w:val="restart"/>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p>
          <w:p>
            <w:pPr>
              <w:pStyle w:val="5"/>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21600元/年（1800元/月）</w:t>
            </w:r>
          </w:p>
        </w:tc>
        <w:tc>
          <w:tcPr>
            <w:tcW w:w="1575" w:type="dxa"/>
            <w:vMerge w:val="restart"/>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p>
          <w:p>
            <w:pPr>
              <w:pStyle w:val="5"/>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9600元/年（800元/月）</w:t>
            </w:r>
          </w:p>
        </w:tc>
        <w:tc>
          <w:tcPr>
            <w:tcW w:w="1395" w:type="dxa"/>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1000元/月</w:t>
            </w:r>
          </w:p>
        </w:tc>
        <w:tc>
          <w:tcPr>
            <w:tcW w:w="1380" w:type="dxa"/>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无</w:t>
            </w:r>
          </w:p>
        </w:tc>
        <w:tc>
          <w:tcPr>
            <w:tcW w:w="1529" w:type="dxa"/>
            <w:tcBorders>
              <w:tl2br w:val="nil"/>
              <w:tr2bl w:val="nil"/>
            </w:tcBorders>
            <w:shd w:val="clear" w:color="auto" w:fill="auto"/>
            <w:tcMar>
              <w:top w:w="72" w:type="dxa"/>
              <w:left w:w="144" w:type="dxa"/>
              <w:bottom w:w="72" w:type="dxa"/>
              <w:right w:w="144" w:type="dxa"/>
            </w:tcMar>
          </w:tcPr>
          <w:p>
            <w:pPr>
              <w:pStyle w:val="5"/>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3600元/月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756" w:hRule="atLeast"/>
          <w:tblCellSpacing w:w="0" w:type="dxa"/>
          <w:jc w:val="center"/>
        </w:trPr>
        <w:tc>
          <w:tcPr>
            <w:tcW w:w="646" w:type="dxa"/>
            <w:vMerge w:val="continue"/>
            <w:tcBorders>
              <w:tl2br w:val="nil"/>
              <w:tr2bl w:val="nil"/>
            </w:tcBorders>
            <w:shd w:val="clear" w:color="auto" w:fill="auto"/>
            <w:tcMar>
              <w:top w:w="72" w:type="dxa"/>
              <w:left w:w="144" w:type="dxa"/>
              <w:bottom w:w="72" w:type="dxa"/>
              <w:right w:w="144" w:type="dxa"/>
            </w:tcMar>
          </w:tcPr>
          <w:p>
            <w:pPr>
              <w:rPr>
                <w:rFonts w:ascii="楷体" w:hAnsi="楷体" w:eastAsia="楷体" w:cs="楷体"/>
                <w:b w:val="0"/>
                <w:bCs w:val="0"/>
                <w:sz w:val="24"/>
                <w:szCs w:val="24"/>
              </w:rPr>
            </w:pPr>
          </w:p>
        </w:tc>
        <w:tc>
          <w:tcPr>
            <w:tcW w:w="1041" w:type="dxa"/>
            <w:tcBorders>
              <w:tl2br w:val="nil"/>
              <w:tr2bl w:val="nil"/>
            </w:tcBorders>
            <w:shd w:val="clear" w:color="auto" w:fill="auto"/>
            <w:tcMar>
              <w:top w:w="72" w:type="dxa"/>
              <w:left w:w="144" w:type="dxa"/>
              <w:bottom w:w="72" w:type="dxa"/>
              <w:right w:w="144" w:type="dxa"/>
            </w:tcMar>
          </w:tcPr>
          <w:p>
            <w:pPr>
              <w:pStyle w:val="5"/>
              <w:rPr>
                <w:rFonts w:ascii="楷体" w:hAnsi="楷体" w:eastAsia="楷体" w:cs="楷体"/>
                <w:b w:val="0"/>
                <w:bCs w:val="0"/>
                <w:sz w:val="24"/>
                <w:szCs w:val="24"/>
              </w:rPr>
            </w:pPr>
            <w:r>
              <w:rPr>
                <w:rFonts w:hint="eastAsia" w:ascii="楷体" w:hAnsi="楷体" w:eastAsia="楷体" w:cs="楷体"/>
                <w:b w:val="0"/>
                <w:bCs w:val="0"/>
                <w:color w:val="000000"/>
                <w:sz w:val="24"/>
                <w:szCs w:val="24"/>
              </w:rPr>
              <w:t>第二年</w:t>
            </w:r>
          </w:p>
        </w:tc>
        <w:tc>
          <w:tcPr>
            <w:tcW w:w="1491" w:type="dxa"/>
            <w:vMerge w:val="continue"/>
            <w:tcBorders>
              <w:tl2br w:val="nil"/>
              <w:tr2bl w:val="nil"/>
            </w:tcBorders>
            <w:shd w:val="clear" w:color="auto" w:fill="auto"/>
            <w:tcMar>
              <w:top w:w="72" w:type="dxa"/>
              <w:left w:w="144" w:type="dxa"/>
              <w:bottom w:w="72" w:type="dxa"/>
              <w:right w:w="144" w:type="dxa"/>
            </w:tcMar>
          </w:tcPr>
          <w:p>
            <w:pPr>
              <w:pStyle w:val="5"/>
              <w:rPr>
                <w:rFonts w:ascii="楷体" w:hAnsi="楷体" w:eastAsia="楷体" w:cs="楷体"/>
                <w:b w:val="0"/>
                <w:bCs w:val="0"/>
                <w:sz w:val="24"/>
                <w:szCs w:val="24"/>
              </w:rPr>
            </w:pPr>
          </w:p>
        </w:tc>
        <w:tc>
          <w:tcPr>
            <w:tcW w:w="1575" w:type="dxa"/>
            <w:vMerge w:val="continue"/>
            <w:tcBorders>
              <w:tl2br w:val="nil"/>
              <w:tr2bl w:val="nil"/>
            </w:tcBorders>
            <w:shd w:val="clear" w:color="auto" w:fill="auto"/>
            <w:tcMar>
              <w:top w:w="72" w:type="dxa"/>
              <w:left w:w="144" w:type="dxa"/>
              <w:bottom w:w="72" w:type="dxa"/>
              <w:right w:w="144" w:type="dxa"/>
            </w:tcMar>
          </w:tcPr>
          <w:p>
            <w:pPr>
              <w:pStyle w:val="5"/>
              <w:rPr>
                <w:rFonts w:ascii="楷体" w:hAnsi="楷体" w:eastAsia="楷体" w:cs="楷体"/>
                <w:b w:val="0"/>
                <w:bCs w:val="0"/>
                <w:sz w:val="24"/>
                <w:szCs w:val="24"/>
              </w:rPr>
            </w:pPr>
          </w:p>
        </w:tc>
        <w:tc>
          <w:tcPr>
            <w:tcW w:w="1395" w:type="dxa"/>
            <w:tcBorders>
              <w:tl2br w:val="nil"/>
              <w:tr2bl w:val="nil"/>
            </w:tcBorders>
            <w:shd w:val="clear" w:color="auto" w:fill="auto"/>
            <w:tcMar>
              <w:top w:w="72" w:type="dxa"/>
              <w:left w:w="144" w:type="dxa"/>
              <w:bottom w:w="72" w:type="dxa"/>
              <w:right w:w="144" w:type="dxa"/>
            </w:tcMar>
          </w:tcPr>
          <w:p>
            <w:pPr>
              <w:pStyle w:val="5"/>
              <w:rPr>
                <w:rFonts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1300元/月</w:t>
            </w:r>
          </w:p>
        </w:tc>
        <w:tc>
          <w:tcPr>
            <w:tcW w:w="1380" w:type="dxa"/>
            <w:tcBorders>
              <w:tl2br w:val="nil"/>
              <w:tr2bl w:val="nil"/>
            </w:tcBorders>
            <w:shd w:val="clear" w:color="auto" w:fill="auto"/>
            <w:tcMar>
              <w:top w:w="72" w:type="dxa"/>
              <w:left w:w="144" w:type="dxa"/>
              <w:bottom w:w="72" w:type="dxa"/>
              <w:right w:w="144" w:type="dxa"/>
            </w:tcMar>
          </w:tcPr>
          <w:p>
            <w:pPr>
              <w:pStyle w:val="5"/>
              <w:rPr>
                <w:rFonts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1500元/月</w:t>
            </w:r>
          </w:p>
        </w:tc>
        <w:tc>
          <w:tcPr>
            <w:tcW w:w="1529" w:type="dxa"/>
            <w:tcBorders>
              <w:tl2br w:val="nil"/>
              <w:tr2bl w:val="nil"/>
            </w:tcBorders>
            <w:shd w:val="clear" w:color="auto" w:fill="auto"/>
            <w:tcMar>
              <w:top w:w="72" w:type="dxa"/>
              <w:left w:w="144" w:type="dxa"/>
              <w:bottom w:w="72" w:type="dxa"/>
              <w:right w:w="144" w:type="dxa"/>
            </w:tcMar>
          </w:tcPr>
          <w:p>
            <w:pPr>
              <w:pStyle w:val="5"/>
              <w:rPr>
                <w:rFonts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5400元/月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blCellSpacing w:w="0" w:type="dxa"/>
          <w:jc w:val="center"/>
        </w:trPr>
        <w:tc>
          <w:tcPr>
            <w:tcW w:w="646" w:type="dxa"/>
            <w:vMerge w:val="continue"/>
            <w:tcBorders>
              <w:tl2br w:val="nil"/>
              <w:tr2bl w:val="nil"/>
            </w:tcBorders>
            <w:shd w:val="clear" w:color="auto" w:fill="auto"/>
            <w:tcMar>
              <w:top w:w="72" w:type="dxa"/>
              <w:left w:w="144" w:type="dxa"/>
              <w:bottom w:w="72" w:type="dxa"/>
              <w:right w:w="144" w:type="dxa"/>
            </w:tcMar>
          </w:tcPr>
          <w:p>
            <w:pPr>
              <w:rPr>
                <w:rFonts w:ascii="楷体" w:hAnsi="楷体" w:eastAsia="楷体" w:cs="楷体"/>
                <w:b w:val="0"/>
                <w:bCs w:val="0"/>
                <w:sz w:val="24"/>
                <w:szCs w:val="24"/>
              </w:rPr>
            </w:pPr>
          </w:p>
        </w:tc>
        <w:tc>
          <w:tcPr>
            <w:tcW w:w="1041" w:type="dxa"/>
            <w:tcBorders>
              <w:tl2br w:val="nil"/>
              <w:tr2bl w:val="nil"/>
            </w:tcBorders>
            <w:shd w:val="clear" w:color="auto" w:fill="auto"/>
            <w:tcMar>
              <w:top w:w="72" w:type="dxa"/>
              <w:left w:w="144" w:type="dxa"/>
              <w:bottom w:w="72" w:type="dxa"/>
              <w:right w:w="144" w:type="dxa"/>
            </w:tcMar>
          </w:tcPr>
          <w:p>
            <w:pPr>
              <w:pStyle w:val="5"/>
              <w:rPr>
                <w:rFonts w:ascii="楷体" w:hAnsi="楷体" w:eastAsia="楷体" w:cs="楷体"/>
                <w:b w:val="0"/>
                <w:bCs w:val="0"/>
                <w:sz w:val="24"/>
                <w:szCs w:val="24"/>
              </w:rPr>
            </w:pPr>
            <w:r>
              <w:rPr>
                <w:rFonts w:hint="eastAsia" w:ascii="楷体" w:hAnsi="楷体" w:eastAsia="楷体" w:cs="楷体"/>
                <w:b w:val="0"/>
                <w:bCs w:val="0"/>
                <w:color w:val="000000"/>
                <w:sz w:val="24"/>
                <w:szCs w:val="24"/>
              </w:rPr>
              <w:t>第三年</w:t>
            </w:r>
          </w:p>
        </w:tc>
        <w:tc>
          <w:tcPr>
            <w:tcW w:w="1491" w:type="dxa"/>
            <w:vMerge w:val="continue"/>
            <w:tcBorders>
              <w:tl2br w:val="nil"/>
              <w:tr2bl w:val="nil"/>
            </w:tcBorders>
            <w:shd w:val="clear" w:color="auto" w:fill="auto"/>
            <w:tcMar>
              <w:top w:w="72" w:type="dxa"/>
              <w:left w:w="144" w:type="dxa"/>
              <w:bottom w:w="72" w:type="dxa"/>
              <w:right w:w="144" w:type="dxa"/>
            </w:tcMar>
          </w:tcPr>
          <w:p>
            <w:pPr>
              <w:pStyle w:val="5"/>
              <w:rPr>
                <w:rFonts w:ascii="楷体" w:hAnsi="楷体" w:eastAsia="楷体" w:cs="楷体"/>
                <w:b w:val="0"/>
                <w:bCs w:val="0"/>
                <w:sz w:val="24"/>
                <w:szCs w:val="24"/>
              </w:rPr>
            </w:pPr>
          </w:p>
        </w:tc>
        <w:tc>
          <w:tcPr>
            <w:tcW w:w="1575" w:type="dxa"/>
            <w:vMerge w:val="continue"/>
            <w:tcBorders>
              <w:tl2br w:val="nil"/>
              <w:tr2bl w:val="nil"/>
            </w:tcBorders>
            <w:shd w:val="clear" w:color="auto" w:fill="auto"/>
            <w:tcMar>
              <w:top w:w="72" w:type="dxa"/>
              <w:left w:w="144" w:type="dxa"/>
              <w:bottom w:w="72" w:type="dxa"/>
              <w:right w:w="144" w:type="dxa"/>
            </w:tcMar>
          </w:tcPr>
          <w:p>
            <w:pPr>
              <w:pStyle w:val="5"/>
              <w:rPr>
                <w:rFonts w:ascii="楷体" w:hAnsi="楷体" w:eastAsia="楷体" w:cs="楷体"/>
                <w:b w:val="0"/>
                <w:bCs w:val="0"/>
                <w:sz w:val="24"/>
                <w:szCs w:val="24"/>
              </w:rPr>
            </w:pPr>
          </w:p>
        </w:tc>
        <w:tc>
          <w:tcPr>
            <w:tcW w:w="1395" w:type="dxa"/>
            <w:tcBorders>
              <w:tl2br w:val="nil"/>
              <w:tr2bl w:val="nil"/>
            </w:tcBorders>
            <w:shd w:val="clear" w:color="auto" w:fill="auto"/>
            <w:tcMar>
              <w:top w:w="72" w:type="dxa"/>
              <w:left w:w="144" w:type="dxa"/>
              <w:bottom w:w="72" w:type="dxa"/>
              <w:right w:w="144" w:type="dxa"/>
            </w:tcMar>
          </w:tcPr>
          <w:p>
            <w:pPr>
              <w:pStyle w:val="5"/>
              <w:rPr>
                <w:rFonts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1600元/月</w:t>
            </w:r>
          </w:p>
        </w:tc>
        <w:tc>
          <w:tcPr>
            <w:tcW w:w="1380" w:type="dxa"/>
            <w:tcBorders>
              <w:tl2br w:val="nil"/>
              <w:tr2bl w:val="nil"/>
            </w:tcBorders>
            <w:shd w:val="clear" w:color="auto" w:fill="auto"/>
            <w:tcMar>
              <w:top w:w="72" w:type="dxa"/>
              <w:left w:w="144" w:type="dxa"/>
              <w:bottom w:w="72" w:type="dxa"/>
              <w:right w:w="144" w:type="dxa"/>
            </w:tcMar>
          </w:tcPr>
          <w:p>
            <w:pPr>
              <w:pStyle w:val="5"/>
              <w:rPr>
                <w:rFonts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2500元/月</w:t>
            </w:r>
          </w:p>
        </w:tc>
        <w:tc>
          <w:tcPr>
            <w:tcW w:w="1529" w:type="dxa"/>
            <w:tcBorders>
              <w:tl2br w:val="nil"/>
              <w:tr2bl w:val="nil"/>
            </w:tcBorders>
            <w:shd w:val="clear" w:color="auto" w:fill="auto"/>
            <w:tcMar>
              <w:top w:w="72" w:type="dxa"/>
              <w:left w:w="144" w:type="dxa"/>
              <w:bottom w:w="72" w:type="dxa"/>
              <w:right w:w="144" w:type="dxa"/>
            </w:tcMar>
          </w:tcPr>
          <w:p>
            <w:pPr>
              <w:pStyle w:val="5"/>
              <w:rPr>
                <w:rFonts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6700元/月</w:t>
            </w:r>
          </w:p>
        </w:tc>
      </w:tr>
    </w:tbl>
    <w:p>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社会人落实中央、省级、医院、科室四级补助，以上科室补助按照当月轮转医院实际情况发放。部分专业基地根据临床实践情况额外发放1000-4000元/月生活补助。</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（三）社会保障</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1.医院为住培学员统一购买五险一金。</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2.免费提供住宿，住宿事宜由医院后勤保障部统一管理，配备宿管和清洁人员。</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3.学员统一办理饭卡，享受本院职工同等就餐待遇。</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表现优异者将向科室推荐就业。面向社会招收的普通高校应届毕业生培训对象培训合格当年在我院就业的,在招聘、派遣、落户等方面,按当年应届毕业生同等对待。对经住培合格的本科学历临床医师,在人员招聘、职称晋升、岗位聘用、薪酬待遇等方面,与临床医学、中医专业学位硕士研究生同等对待。</w:t>
      </w:r>
    </w:p>
    <w:p>
      <w:pPr>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5.学历提升方面，住院医师规培期间可报考昆明医科大学同等学力，毕业后“三证合一”，即专业学位证、医师资格证、规培结业证。</w:t>
      </w:r>
    </w:p>
    <w:p>
      <w:pPr>
        <w:numPr>
          <w:ilvl w:val="0"/>
          <w:numId w:val="0"/>
        </w:numPr>
        <w:ind w:left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七、其他要求</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根据有关规定，对在培训招收工作中弄虚作假的培训申请人，取消其本次报名、录取资格，对录取后（以培训基地网上录取操作时间为准）不按要求报到或报到签订培训协议后退出、终止培训者（含在培人员参加全日制研究生学历教育），自终止培训起3年内不得报名参加住培（或2年内不得报名参加助培），除全部退还已享受的相关费用，还需按以上已享受费用的50%作为违约金。</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申请培训人员应确认所报志愿并保证其无退出或终止培训等记录，并随时关注所报培训基地发布的消息和公告，服从培训基地招录工作安排。招收过程中无故缺席相关审核、考试、面试、报到等环节者，视为个人原因主动放弃，并承担相关责任后果。</w:t>
      </w:r>
    </w:p>
    <w:p>
      <w:pPr>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八、联系方式</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联系人：孙老师、唐老师</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联系电话：0871-68172472    QQ群号：318212952   </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地址：云南省昆明市西山区昆州路519号门诊楼421办公室</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66599"/>
    <w:multiLevelType w:val="singleLevel"/>
    <w:tmpl w:val="EB766599"/>
    <w:lvl w:ilvl="0" w:tentative="0">
      <w:start w:val="1"/>
      <w:numFmt w:val="decimal"/>
      <w:suff w:val="nothing"/>
      <w:lvlText w:val="（%1）"/>
      <w:lvlJc w:val="left"/>
    </w:lvl>
  </w:abstractNum>
  <w:abstractNum w:abstractNumId="1">
    <w:nsid w:val="278A647E"/>
    <w:multiLevelType w:val="singleLevel"/>
    <w:tmpl w:val="278A647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MDEzN2Q1NTljODhlZTZiYzU1NWNiZDIwMTYyYWYifQ=="/>
  </w:docVars>
  <w:rsids>
    <w:rsidRoot w:val="00000000"/>
    <w:rsid w:val="01907952"/>
    <w:rsid w:val="028440C8"/>
    <w:rsid w:val="0B2621C1"/>
    <w:rsid w:val="0D8863A0"/>
    <w:rsid w:val="0E686280"/>
    <w:rsid w:val="122F22A3"/>
    <w:rsid w:val="171F4929"/>
    <w:rsid w:val="27705098"/>
    <w:rsid w:val="35DF103A"/>
    <w:rsid w:val="522E5E31"/>
    <w:rsid w:val="524F0A57"/>
    <w:rsid w:val="561B483A"/>
    <w:rsid w:val="64552344"/>
    <w:rsid w:val="65B67405"/>
    <w:rsid w:val="68751207"/>
    <w:rsid w:val="6C5850C7"/>
    <w:rsid w:val="72084E9A"/>
    <w:rsid w:val="7AF1296F"/>
    <w:rsid w:val="7BF25FC5"/>
    <w:rsid w:val="7F550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2"/>
    <w:basedOn w:val="1"/>
    <w:unhideWhenUsed/>
    <w:qFormat/>
    <w:uiPriority w:val="99"/>
    <w:pPr>
      <w:widowControl/>
      <w:spacing w:after="120" w:line="480" w:lineRule="auto"/>
      <w:ind w:firstLine="420" w:firstLineChars="200"/>
    </w:pPr>
    <w:rPr>
      <w:rFonts w:cs="Times New Roman"/>
      <w:color w:val="000000"/>
      <w:sz w:val="18"/>
      <w:szCs w:val="18"/>
      <w:lang w:bidi="en-US"/>
    </w:rPr>
  </w:style>
  <w:style w:type="paragraph" w:styleId="4">
    <w:name w:val="Body Text Indent"/>
    <w:basedOn w:val="1"/>
    <w:next w:val="1"/>
    <w:unhideWhenUsed/>
    <w:qFormat/>
    <w:uiPriority w:val="99"/>
    <w:pPr>
      <w:widowControl/>
      <w:spacing w:line="360" w:lineRule="auto"/>
      <w:ind w:firstLine="489" w:firstLineChars="178"/>
    </w:pPr>
    <w:rPr>
      <w:rFonts w:cs="Times New Roman"/>
      <w:color w:val="000000"/>
      <w:sz w:val="18"/>
      <w:szCs w:val="18"/>
      <w:lang w:bidi="en-US"/>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
    <w:name w:val="Body Text First Indent"/>
    <w:basedOn w:val="2"/>
    <w:next w:val="7"/>
    <w:unhideWhenUsed/>
    <w:qFormat/>
    <w:uiPriority w:val="99"/>
    <w:pPr>
      <w:ind w:firstLine="420" w:firstLineChars="100"/>
    </w:pPr>
  </w:style>
  <w:style w:type="paragraph" w:styleId="7">
    <w:name w:val="Body Text First Indent 2"/>
    <w:basedOn w:val="4"/>
    <w:unhideWhenUsed/>
    <w:qFormat/>
    <w:uiPriority w:val="99"/>
    <w:pPr>
      <w:widowControl w:val="0"/>
      <w:spacing w:after="120" w:line="240" w:lineRule="auto"/>
      <w:ind w:left="420" w:leftChars="200" w:firstLine="420" w:firstLineChars="200"/>
    </w:pPr>
    <w:rPr>
      <w:rFonts w:ascii="Times New Roman" w:hAnsi="Times New Roman"/>
      <w:color w:val="auto"/>
      <w:sz w:val="24"/>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3935</Words>
  <Characters>4266</Characters>
  <Lines>0</Lines>
  <Paragraphs>0</Paragraphs>
  <TotalTime>5</TotalTime>
  <ScaleCrop>false</ScaleCrop>
  <LinksUpToDate>false</LinksUpToDate>
  <CharactersWithSpaces>4282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蓝甜</cp:lastModifiedBy>
  <dcterms:modified xsi:type="dcterms:W3CDTF">2023-06-05T00:25:41Z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44ED28448A844CC3B86DC9164E627BB4_12</vt:lpwstr>
  </property>
</Properties>
</file>